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71C65" w14:paraId="64E8DF96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97BBE8C" w14:textId="77777777" w:rsidR="00A80767" w:rsidRPr="00971C65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971C65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0B49D5FB" w14:textId="77777777" w:rsidR="00A80767" w:rsidRPr="00971C65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71C65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3536FD53" wp14:editId="19A1296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971C6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2AA2BED9" w14:textId="77777777" w:rsidR="00AF67EB" w:rsidRPr="00971C65" w:rsidRDefault="00250A6B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71C65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COMMISSION DES SERVICES ET APPLICATIONS MÉTÉOROLOGIQUES, CLIMATOLOGIQUES, HYDROLOGIQUES, MARITIMES ET ENVIRONNEMENTAUX</w:t>
            </w:r>
          </w:p>
          <w:p w14:paraId="40805B4E" w14:textId="77777777" w:rsidR="00A80767" w:rsidRPr="00971C65" w:rsidRDefault="00250A6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71C6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</w:t>
            </w:r>
            <w:r w:rsidR="00C9447D" w:rsidRPr="00971C6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A80767" w:rsidRPr="00971C6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127090" w:rsidRPr="00971C65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Bali, Indonésie, </w:t>
            </w:r>
            <w:r w:rsidRPr="00971C65">
              <w:rPr>
                <w:snapToGrid w:val="0"/>
                <w:color w:val="365F91" w:themeColor="accent1" w:themeShade="BF"/>
                <w:szCs w:val="22"/>
                <w:lang w:val="fr-FR"/>
              </w:rPr>
              <w:t>4</w:t>
            </w:r>
            <w:r w:rsidR="00766285" w:rsidRPr="00971C65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Pr="00971C65">
              <w:rPr>
                <w:snapToGrid w:val="0"/>
                <w:color w:val="365F91" w:themeColor="accent1" w:themeShade="BF"/>
                <w:szCs w:val="22"/>
                <w:lang w:val="fr-FR"/>
              </w:rPr>
              <w:t>9 mars 2024</w:t>
            </w:r>
          </w:p>
        </w:tc>
        <w:tc>
          <w:tcPr>
            <w:tcW w:w="2962" w:type="dxa"/>
          </w:tcPr>
          <w:p w14:paraId="173B9C53" w14:textId="7FA48DF0" w:rsidR="00A80767" w:rsidRPr="00971C65" w:rsidRDefault="00F21B4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71C6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</w:t>
            </w:r>
            <w:r w:rsidR="00250A6B" w:rsidRPr="00971C6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971C6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B45630" w:rsidRPr="00971C6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6</w:t>
            </w:r>
          </w:p>
        </w:tc>
      </w:tr>
      <w:tr w:rsidR="00A80767" w:rsidRPr="00971C65" w14:paraId="422AFFDE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4D6699D" w14:textId="77777777" w:rsidR="00A80767" w:rsidRPr="00971C65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09E89FF" w14:textId="77777777" w:rsidR="00A80767" w:rsidRPr="00971C65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D20CCF0" w14:textId="57515B61" w:rsidR="00A80767" w:rsidRPr="00971C65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971C65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971C65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971C65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B45630" w:rsidRPr="00971C65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de la C</w:t>
            </w:r>
            <w:r w:rsidR="00154FE6" w:rsidRPr="00971C65">
              <w:rPr>
                <w:rFonts w:cs="Tahoma"/>
                <w:color w:val="365F91" w:themeColor="accent1" w:themeShade="BF"/>
                <w:szCs w:val="22"/>
                <w:lang w:val="fr-FR"/>
              </w:rPr>
              <w:t>o</w:t>
            </w:r>
            <w:r w:rsidR="00B45630" w:rsidRPr="00971C65">
              <w:rPr>
                <w:rFonts w:cs="Tahoma"/>
                <w:color w:val="365F91" w:themeColor="accent1" w:themeShade="BF"/>
                <w:szCs w:val="22"/>
                <w:lang w:val="fr-FR"/>
              </w:rPr>
              <w:t>mmission</w:t>
            </w:r>
          </w:p>
          <w:p w14:paraId="0E62C9BD" w14:textId="3A391778" w:rsidR="00A80767" w:rsidRPr="00971C65" w:rsidRDefault="00B4563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971C65">
              <w:rPr>
                <w:rFonts w:cs="Tahoma"/>
                <w:color w:val="365F91" w:themeColor="accent1" w:themeShade="BF"/>
                <w:szCs w:val="22"/>
                <w:lang w:val="fr-FR"/>
              </w:rPr>
              <w:t>31</w:t>
            </w:r>
            <w:r w:rsidR="00F21B41" w:rsidRPr="00971C65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250A6B" w:rsidRPr="00971C65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F21B41" w:rsidRPr="00971C65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 w:rsidRPr="00971C65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</w:p>
          <w:p w14:paraId="7EE21420" w14:textId="77777777" w:rsidR="00A80767" w:rsidRPr="00971C65" w:rsidRDefault="008A418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71C6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971C6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1</w:t>
            </w:r>
          </w:p>
        </w:tc>
      </w:tr>
    </w:tbl>
    <w:p w14:paraId="06A6C563" w14:textId="27E942A7" w:rsidR="00856FF8" w:rsidRPr="00971C65" w:rsidRDefault="00856FF8" w:rsidP="00822926">
      <w:pPr>
        <w:pStyle w:val="WMOBodyText"/>
        <w:ind w:left="4536" w:hanging="4536"/>
        <w:rPr>
          <w:lang w:val="fr-FR"/>
        </w:rPr>
      </w:pPr>
      <w:bookmarkStart w:id="0" w:name="_APPENDIX_A:_"/>
      <w:bookmarkEnd w:id="0"/>
      <w:r w:rsidRPr="00971C65">
        <w:rPr>
          <w:b/>
          <w:bCs/>
          <w:lang w:val="fr-FR"/>
        </w:rPr>
        <w:t>POINT </w:t>
      </w:r>
      <w:r w:rsidR="00B45630" w:rsidRPr="00971C65">
        <w:rPr>
          <w:b/>
          <w:bCs/>
          <w:lang w:val="fr-FR"/>
        </w:rPr>
        <w:t>6</w:t>
      </w:r>
      <w:r w:rsidRPr="00971C65">
        <w:rPr>
          <w:b/>
          <w:bCs/>
          <w:lang w:val="fr-FR"/>
        </w:rPr>
        <w:t xml:space="preserve"> DE L</w:t>
      </w:r>
      <w:r w:rsidR="003B1030">
        <w:rPr>
          <w:b/>
          <w:bCs/>
          <w:lang w:val="fr-FR"/>
        </w:rPr>
        <w:t>’</w:t>
      </w:r>
      <w:r w:rsidRPr="00971C65">
        <w:rPr>
          <w:b/>
          <w:bCs/>
          <w:lang w:val="fr-FR"/>
        </w:rPr>
        <w:t>ORDRE DU JOUR:</w:t>
      </w:r>
      <w:r w:rsidRPr="00971C65">
        <w:rPr>
          <w:b/>
          <w:bCs/>
          <w:lang w:val="fr-FR"/>
        </w:rPr>
        <w:tab/>
      </w:r>
      <w:r w:rsidR="008D1029" w:rsidRPr="00971C65">
        <w:rPr>
          <w:b/>
          <w:bCs/>
          <w:lang w:val="fr-FR"/>
        </w:rPr>
        <w:t>QUESTIONS DE PROCÉDURE</w:t>
      </w:r>
    </w:p>
    <w:p w14:paraId="5F2C4355" w14:textId="3ED9D5BA" w:rsidR="00A80767" w:rsidRPr="00971C65" w:rsidRDefault="0094243F" w:rsidP="00A80767">
      <w:pPr>
        <w:pStyle w:val="Heading1"/>
        <w:rPr>
          <w:lang w:val="fr-FR"/>
        </w:rPr>
      </w:pPr>
      <w:r w:rsidRPr="00971C65">
        <w:rPr>
          <w:lang w:val="fr-FR"/>
        </w:rPr>
        <w:t>Principes généraux de sélection des experts</w:t>
      </w:r>
    </w:p>
    <w:p w14:paraId="401FF596" w14:textId="77777777" w:rsidR="00025AEB" w:rsidRPr="00971C65" w:rsidRDefault="00025AEB" w:rsidP="00025AEB">
      <w:pPr>
        <w:pStyle w:val="WMOBodyText"/>
        <w:rPr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AEB" w:rsidRPr="00971C65" w14:paraId="7179857B" w14:textId="77777777" w:rsidTr="00250A6B">
        <w:trPr>
          <w:jc w:val="center"/>
        </w:trPr>
        <w:tc>
          <w:tcPr>
            <w:tcW w:w="9634" w:type="dxa"/>
          </w:tcPr>
          <w:p w14:paraId="709078DC" w14:textId="2E090DDC" w:rsidR="00025AEB" w:rsidRPr="00971C65" w:rsidRDefault="00025AEB" w:rsidP="00B45630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971C65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25AEB" w:rsidRPr="006B67BD" w14:paraId="1AD65E56" w14:textId="77777777" w:rsidTr="00250A6B">
        <w:trPr>
          <w:jc w:val="center"/>
        </w:trPr>
        <w:tc>
          <w:tcPr>
            <w:tcW w:w="9634" w:type="dxa"/>
          </w:tcPr>
          <w:p w14:paraId="5E02BFBC" w14:textId="1CB801FB" w:rsidR="00025AEB" w:rsidRPr="00971C65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971C65">
              <w:rPr>
                <w:b/>
                <w:bCs/>
                <w:lang w:val="fr-FR"/>
              </w:rPr>
              <w:t>Document présenté par:</w:t>
            </w:r>
            <w:r w:rsidRPr="00971C65">
              <w:rPr>
                <w:lang w:val="fr-FR"/>
              </w:rPr>
              <w:t xml:space="preserve"> </w:t>
            </w:r>
            <w:r w:rsidR="0002058C" w:rsidRPr="00971C65">
              <w:rPr>
                <w:lang w:val="fr-FR"/>
              </w:rPr>
              <w:t>Président de la SERCO</w:t>
            </w:r>
            <w:r w:rsidR="00A80874" w:rsidRPr="00971C65">
              <w:rPr>
                <w:lang w:val="fr-FR"/>
              </w:rPr>
              <w:t>M</w:t>
            </w:r>
            <w:r w:rsidR="0002058C" w:rsidRPr="00971C65">
              <w:rPr>
                <w:lang w:val="fr-FR"/>
              </w:rPr>
              <w:t xml:space="preserve">, </w:t>
            </w:r>
            <w:r w:rsidR="00A80874" w:rsidRPr="00971C65">
              <w:rPr>
                <w:lang w:val="fr-FR"/>
              </w:rPr>
              <w:t xml:space="preserve">pour proposer des principes généraux afin de donner suite à la </w:t>
            </w:r>
            <w:hyperlink r:id="rId12" w:history="1">
              <w:r w:rsidR="00A80874" w:rsidRPr="00971C65">
                <w:rPr>
                  <w:rStyle w:val="Hyperlink"/>
                  <w:lang w:val="fr-FR"/>
                </w:rPr>
                <w:t>résolution 40 (</w:t>
              </w:r>
              <w:proofErr w:type="spellStart"/>
              <w:r w:rsidR="00A80874" w:rsidRPr="00971C65">
                <w:rPr>
                  <w:rStyle w:val="Hyperlink"/>
                  <w:lang w:val="fr-FR"/>
                </w:rPr>
                <w:t>Cg-19</w:t>
              </w:r>
              <w:proofErr w:type="spellEnd"/>
              <w:r w:rsidR="00A80874" w:rsidRPr="00971C65">
                <w:rPr>
                  <w:rStyle w:val="Hyperlink"/>
                  <w:lang w:val="fr-FR"/>
                </w:rPr>
                <w:t>)</w:t>
              </w:r>
            </w:hyperlink>
            <w:r w:rsidR="00AA6358" w:rsidRPr="00971C65">
              <w:rPr>
                <w:lang w:val="fr-FR"/>
              </w:rPr>
              <w:t>,</w:t>
            </w:r>
            <w:r w:rsidR="00A80874" w:rsidRPr="00971C65">
              <w:rPr>
                <w:lang w:val="fr-FR"/>
              </w:rPr>
              <w:t xml:space="preserve"> tout en respectant le </w:t>
            </w:r>
            <w:hyperlink r:id="rId13" w:history="1">
              <w:r w:rsidR="00A80874" w:rsidRPr="00971C65">
                <w:rPr>
                  <w:rStyle w:val="Hyperlink"/>
                  <w:i/>
                  <w:iCs/>
                  <w:lang w:val="fr-FR"/>
                </w:rPr>
                <w:t>Règlement intérieur des commissions techniques</w:t>
              </w:r>
            </w:hyperlink>
            <w:r w:rsidR="00A80874" w:rsidRPr="00971C65">
              <w:rPr>
                <w:lang w:val="fr-FR"/>
              </w:rPr>
              <w:t xml:space="preserve"> (OMM-N° 1240</w:t>
            </w:r>
            <w:r w:rsidR="00A301AF" w:rsidRPr="00971C65">
              <w:rPr>
                <w:lang w:val="fr-FR"/>
              </w:rPr>
              <w:t>,</w:t>
            </w:r>
            <w:r w:rsidR="00A80874" w:rsidRPr="00971C65">
              <w:rPr>
                <w:lang w:val="fr-FR"/>
              </w:rPr>
              <w:t xml:space="preserve"> édition 2023)</w:t>
            </w:r>
          </w:p>
          <w:p w14:paraId="2A827979" w14:textId="18317627" w:rsidR="00025AEB" w:rsidRPr="00971C65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971C65">
              <w:rPr>
                <w:b/>
                <w:bCs/>
                <w:lang w:val="fr-FR"/>
              </w:rPr>
              <w:t xml:space="preserve">Objectif stratégique </w:t>
            </w:r>
            <w:r w:rsidR="002066F1" w:rsidRPr="00971C65">
              <w:rPr>
                <w:b/>
                <w:bCs/>
                <w:lang w:val="fr-FR"/>
              </w:rPr>
              <w:t>20</w:t>
            </w:r>
            <w:r w:rsidR="00823E63" w:rsidRPr="00971C65">
              <w:rPr>
                <w:b/>
                <w:bCs/>
                <w:lang w:val="fr-FR"/>
              </w:rPr>
              <w:t>24-</w:t>
            </w:r>
            <w:r w:rsidR="002066F1" w:rsidRPr="00971C65">
              <w:rPr>
                <w:b/>
                <w:bCs/>
                <w:lang w:val="fr-FR"/>
              </w:rPr>
              <w:t>20</w:t>
            </w:r>
            <w:r w:rsidR="00823E63" w:rsidRPr="00971C65">
              <w:rPr>
                <w:b/>
                <w:bCs/>
                <w:lang w:val="fr-FR"/>
              </w:rPr>
              <w:t>27</w:t>
            </w:r>
            <w:r w:rsidRPr="00971C65">
              <w:rPr>
                <w:b/>
                <w:bCs/>
                <w:lang w:val="fr-FR"/>
              </w:rPr>
              <w:t xml:space="preserve">: </w:t>
            </w:r>
            <w:r w:rsidR="00260AA4" w:rsidRPr="00260AA4">
              <w:rPr>
                <w:lang w:val="fr-FR"/>
              </w:rPr>
              <w:t xml:space="preserve">Objectif </w:t>
            </w:r>
            <w:r w:rsidR="00C971D8" w:rsidRPr="00260AA4">
              <w:rPr>
                <w:lang w:val="fr-FR"/>
              </w:rPr>
              <w:t>5</w:t>
            </w:r>
            <w:r w:rsidR="00C971D8" w:rsidRPr="00971C65">
              <w:rPr>
                <w:lang w:val="fr-FR"/>
              </w:rPr>
              <w:t xml:space="preserve">.1 </w:t>
            </w:r>
            <w:r w:rsidR="00260AA4">
              <w:rPr>
                <w:lang w:val="fr-FR"/>
              </w:rPr>
              <w:t xml:space="preserve">– </w:t>
            </w:r>
            <w:r w:rsidR="0002058C" w:rsidRPr="00971C65">
              <w:rPr>
                <w:lang w:val="fr-FR"/>
              </w:rPr>
              <w:t>Optimiser la structure des organes constituants de l</w:t>
            </w:r>
            <w:r w:rsidR="003B1030">
              <w:rPr>
                <w:lang w:val="fr-FR"/>
              </w:rPr>
              <w:t>’</w:t>
            </w:r>
            <w:r w:rsidR="0002058C" w:rsidRPr="00971C65">
              <w:rPr>
                <w:lang w:val="fr-FR"/>
              </w:rPr>
              <w:t>OMM afin d</w:t>
            </w:r>
            <w:r w:rsidR="003B1030">
              <w:rPr>
                <w:lang w:val="fr-FR"/>
              </w:rPr>
              <w:t>’</w:t>
            </w:r>
            <w:r w:rsidR="0002058C" w:rsidRPr="00971C65">
              <w:rPr>
                <w:lang w:val="fr-FR"/>
              </w:rPr>
              <w:t>améliorer le processus décisionnel</w:t>
            </w:r>
          </w:p>
          <w:p w14:paraId="6A7AD931" w14:textId="5B52025E" w:rsidR="00025AEB" w:rsidRPr="00971C65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971C65">
              <w:rPr>
                <w:b/>
                <w:bCs/>
                <w:lang w:val="fr-FR"/>
              </w:rPr>
              <w:t>Incidences financières et administratives:</w:t>
            </w:r>
            <w:r w:rsidRPr="00971C65">
              <w:rPr>
                <w:lang w:val="fr-FR"/>
              </w:rPr>
              <w:t xml:space="preserve"> </w:t>
            </w:r>
            <w:r w:rsidR="006523AE" w:rsidRPr="00971C65">
              <w:rPr>
                <w:lang w:val="fr-FR"/>
              </w:rPr>
              <w:t>Dans les limites prévues dans le Plan stratégique et le Plan opérationnel 2024-2027</w:t>
            </w:r>
          </w:p>
          <w:p w14:paraId="05EB1C86" w14:textId="6624C76E" w:rsidR="00025AEB" w:rsidRPr="00971C65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971C65">
              <w:rPr>
                <w:b/>
                <w:bCs/>
                <w:lang w:val="fr-FR"/>
              </w:rPr>
              <w:t>Principaux responsables de la mise en œuvre:</w:t>
            </w:r>
            <w:r w:rsidRPr="00971C65">
              <w:rPr>
                <w:lang w:val="fr-FR"/>
              </w:rPr>
              <w:t xml:space="preserve"> </w:t>
            </w:r>
            <w:r w:rsidR="0094243F" w:rsidRPr="00971C65">
              <w:rPr>
                <w:lang w:val="fr-FR"/>
              </w:rPr>
              <w:t>SERCOM</w:t>
            </w:r>
          </w:p>
          <w:p w14:paraId="27B1ED7D" w14:textId="3DD0F81D" w:rsidR="00025AEB" w:rsidRPr="00971C65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971C65">
              <w:rPr>
                <w:b/>
                <w:bCs/>
                <w:lang w:val="fr-FR"/>
              </w:rPr>
              <w:t>Calendrier:</w:t>
            </w:r>
            <w:r w:rsidRPr="00971C65">
              <w:rPr>
                <w:lang w:val="fr-FR"/>
              </w:rPr>
              <w:t xml:space="preserve"> </w:t>
            </w:r>
            <w:r w:rsidR="00B117DC" w:rsidRPr="00971C65">
              <w:rPr>
                <w:lang w:val="fr-FR"/>
              </w:rPr>
              <w:t>D</w:t>
            </w:r>
            <w:r w:rsidR="002D3D97" w:rsidRPr="00971C65">
              <w:rPr>
                <w:lang w:val="fr-FR"/>
              </w:rPr>
              <w:t>ès l</w:t>
            </w:r>
            <w:r w:rsidR="003B1030">
              <w:rPr>
                <w:lang w:val="fr-FR"/>
              </w:rPr>
              <w:t>’</w:t>
            </w:r>
            <w:r w:rsidR="002D3D97" w:rsidRPr="00971C65">
              <w:rPr>
                <w:lang w:val="fr-FR"/>
              </w:rPr>
              <w:t>adoption du projet de décision, au cours de la prochaine intersession</w:t>
            </w:r>
          </w:p>
          <w:p w14:paraId="6FF09FB6" w14:textId="7A1698D1" w:rsidR="00025AEB" w:rsidRPr="00971C65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971C65">
              <w:rPr>
                <w:b/>
                <w:bCs/>
                <w:lang w:val="fr-FR"/>
              </w:rPr>
              <w:t>Mesure attendue:</w:t>
            </w:r>
            <w:r w:rsidRPr="00971C65">
              <w:rPr>
                <w:lang w:val="fr-FR"/>
              </w:rPr>
              <w:t xml:space="preserve"> </w:t>
            </w:r>
            <w:r w:rsidR="00B117DC" w:rsidRPr="00971C65">
              <w:rPr>
                <w:lang w:val="fr-FR"/>
              </w:rPr>
              <w:t xml:space="preserve">Adopter le </w:t>
            </w:r>
            <w:hyperlink w:anchor="_Projet_de_décision" w:history="1">
              <w:r w:rsidR="00B117DC" w:rsidRPr="00971C65">
                <w:rPr>
                  <w:rStyle w:val="Hyperlink"/>
                  <w:lang w:val="fr-FR"/>
                </w:rPr>
                <w:t>projet de décision 6/1 (SERCOM-</w:t>
              </w:r>
              <w:r w:rsidR="00FB695F" w:rsidRPr="00971C65">
                <w:rPr>
                  <w:rStyle w:val="Hyperlink"/>
                  <w:lang w:val="fr-FR"/>
                </w:rPr>
                <w:t>3</w:t>
              </w:r>
              <w:r w:rsidR="00B117DC" w:rsidRPr="00971C65">
                <w:rPr>
                  <w:rStyle w:val="Hyperlink"/>
                  <w:lang w:val="fr-FR"/>
                </w:rPr>
                <w:t>)</w:t>
              </w:r>
            </w:hyperlink>
          </w:p>
          <w:p w14:paraId="7D2BF802" w14:textId="77777777" w:rsidR="00025AEB" w:rsidRPr="00971C65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2CEDDB97" w14:textId="77777777" w:rsidR="00092CAE" w:rsidRPr="00971C65" w:rsidRDefault="00092CAE">
      <w:pPr>
        <w:tabs>
          <w:tab w:val="clear" w:pos="1134"/>
        </w:tabs>
        <w:jc w:val="left"/>
        <w:rPr>
          <w:lang w:val="fr-FR"/>
        </w:rPr>
      </w:pPr>
    </w:p>
    <w:p w14:paraId="3C0DFB3C" w14:textId="77777777" w:rsidR="00331964" w:rsidRPr="00971C65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971C65">
        <w:rPr>
          <w:lang w:val="fr-FR"/>
        </w:rPr>
        <w:br w:type="page"/>
      </w:r>
    </w:p>
    <w:p w14:paraId="71C0E7F8" w14:textId="439B607B" w:rsidR="00BA52F8" w:rsidRPr="00971C65" w:rsidRDefault="00BA52F8" w:rsidP="00BA52F8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971C65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lastRenderedPageBreak/>
        <w:t>PROJET DE DÉCISION</w:t>
      </w:r>
    </w:p>
    <w:p w14:paraId="10900723" w14:textId="72B5B607" w:rsidR="0037222D" w:rsidRPr="00971C65" w:rsidRDefault="001D71D0" w:rsidP="0037222D">
      <w:pPr>
        <w:pStyle w:val="Heading2"/>
        <w:rPr>
          <w:lang w:val="fr-FR"/>
        </w:rPr>
      </w:pPr>
      <w:bookmarkStart w:id="1" w:name="_Projet_de_décision"/>
      <w:bookmarkEnd w:id="1"/>
      <w:r w:rsidRPr="00971C65">
        <w:rPr>
          <w:lang w:val="fr-FR"/>
        </w:rPr>
        <w:t xml:space="preserve">Projet de décision </w:t>
      </w:r>
      <w:r w:rsidR="00C80319" w:rsidRPr="00971C65">
        <w:rPr>
          <w:lang w:val="fr-FR"/>
        </w:rPr>
        <w:t>6</w:t>
      </w:r>
      <w:r w:rsidRPr="00971C65">
        <w:rPr>
          <w:lang w:val="fr-FR"/>
        </w:rPr>
        <w:t xml:space="preserve">/1 </w:t>
      </w:r>
      <w:r w:rsidR="00F21B41" w:rsidRPr="00971C65">
        <w:rPr>
          <w:lang w:val="fr-FR"/>
        </w:rPr>
        <w:t>(SERCOM-</w:t>
      </w:r>
      <w:r w:rsidR="00250A6B" w:rsidRPr="00971C65">
        <w:rPr>
          <w:lang w:val="fr-FR"/>
        </w:rPr>
        <w:t>3</w:t>
      </w:r>
      <w:r w:rsidR="00F21B41" w:rsidRPr="00971C65">
        <w:rPr>
          <w:lang w:val="fr-FR"/>
        </w:rPr>
        <w:t>)</w:t>
      </w:r>
    </w:p>
    <w:p w14:paraId="006E8EE1" w14:textId="72F60737" w:rsidR="0093261F" w:rsidRPr="00971C65" w:rsidRDefault="00AC5057" w:rsidP="0037222D">
      <w:pPr>
        <w:pStyle w:val="WMOBodyText"/>
        <w:rPr>
          <w:b/>
          <w:bCs/>
          <w:lang w:val="fr-FR"/>
        </w:rPr>
      </w:pPr>
      <w:r w:rsidRPr="00971C65">
        <w:rPr>
          <w:b/>
          <w:bCs/>
          <w:lang w:val="fr-FR"/>
        </w:rPr>
        <w:t xml:space="preserve">Principes généraux de sélection des experts siégeant au sein de la </w:t>
      </w:r>
      <w:r w:rsidR="002E4E34" w:rsidRPr="00971C65">
        <w:rPr>
          <w:b/>
          <w:bCs/>
          <w:lang w:val="fr-FR"/>
        </w:rPr>
        <w:t>Commission des services et applications météorologiques, climatologiques, hydrologiques, maritimes et environnementaux</w:t>
      </w:r>
    </w:p>
    <w:p w14:paraId="447AA38B" w14:textId="77777777" w:rsidR="00424D06" w:rsidRPr="00971C65" w:rsidRDefault="00250A6B" w:rsidP="00424D06">
      <w:pPr>
        <w:tabs>
          <w:tab w:val="clear" w:pos="1134"/>
        </w:tabs>
        <w:spacing w:before="240"/>
        <w:jc w:val="left"/>
        <w:rPr>
          <w:rFonts w:eastAsia="Verdana" w:cs="Verdana"/>
          <w:lang w:val="fr-FR" w:eastAsia="zh-TW"/>
        </w:rPr>
      </w:pPr>
      <w:r w:rsidRPr="00971C65">
        <w:rPr>
          <w:b/>
          <w:bCs/>
          <w:lang w:val="fr-FR"/>
        </w:rPr>
        <w:t>La Commission des services et applications météorologiques, climatologiques, hydrologiques, maritimes et environnementaux décide</w:t>
      </w:r>
      <w:r w:rsidR="00DD3B6A" w:rsidRPr="00971C65">
        <w:rPr>
          <w:rFonts w:eastAsia="Verdana" w:cs="Verdana"/>
          <w:b/>
          <w:bCs/>
          <w:lang w:val="fr-FR" w:eastAsia="zh-TW"/>
        </w:rPr>
        <w:t>:</w:t>
      </w:r>
      <w:r w:rsidR="00424D06" w:rsidRPr="00971C65">
        <w:rPr>
          <w:rFonts w:eastAsia="Verdana" w:cs="Verdana"/>
          <w:lang w:val="fr-FR" w:eastAsia="zh-TW"/>
        </w:rPr>
        <w:t xml:space="preserve"> </w:t>
      </w:r>
    </w:p>
    <w:p w14:paraId="2FE0F0EA" w14:textId="0A656ECF" w:rsidR="00424D06" w:rsidRPr="00971C65" w:rsidRDefault="00424D06" w:rsidP="00424D06">
      <w:pPr>
        <w:tabs>
          <w:tab w:val="clear" w:pos="1134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  <w:r w:rsidRPr="00971C65">
        <w:rPr>
          <w:rFonts w:eastAsia="Times New Roman" w:cs="Times New Roman"/>
          <w:lang w:val="fr-FR" w:eastAsia="zh-TW"/>
        </w:rPr>
        <w:t>1)</w:t>
      </w:r>
      <w:r w:rsidRPr="00971C65">
        <w:rPr>
          <w:rFonts w:eastAsia="Times New Roman" w:cs="Times New Roman"/>
          <w:lang w:val="fr-FR" w:eastAsia="zh-TW"/>
        </w:rPr>
        <w:tab/>
      </w:r>
      <w:r w:rsidR="00F34D47" w:rsidRPr="00971C65">
        <w:rPr>
          <w:rFonts w:eastAsia="Times New Roman" w:cs="Times New Roman"/>
          <w:lang w:val="fr-FR" w:eastAsia="zh-TW"/>
        </w:rPr>
        <w:t>D</w:t>
      </w:r>
      <w:r w:rsidR="003B1030">
        <w:rPr>
          <w:rFonts w:eastAsia="Times New Roman" w:cs="Times New Roman"/>
          <w:lang w:val="fr-FR" w:eastAsia="zh-TW"/>
        </w:rPr>
        <w:t>’</w:t>
      </w:r>
      <w:r w:rsidR="00F34D47" w:rsidRPr="00971C65">
        <w:rPr>
          <w:rFonts w:eastAsia="Times New Roman" w:cs="Times New Roman"/>
          <w:lang w:val="fr-FR" w:eastAsia="zh-TW"/>
        </w:rPr>
        <w:t xml:space="preserve">adopter les principes généraux présentés en annexe </w:t>
      </w:r>
      <w:r w:rsidR="00343663">
        <w:rPr>
          <w:rFonts w:eastAsia="Times New Roman" w:cs="Times New Roman"/>
          <w:lang w:val="fr-FR" w:eastAsia="zh-TW"/>
        </w:rPr>
        <w:t>s</w:t>
      </w:r>
      <w:r w:rsidR="003B1030">
        <w:rPr>
          <w:rFonts w:eastAsia="Times New Roman" w:cs="Times New Roman"/>
          <w:lang w:val="fr-FR" w:eastAsia="zh-TW"/>
        </w:rPr>
        <w:t>’</w:t>
      </w:r>
      <w:r w:rsidR="00343663">
        <w:rPr>
          <w:rFonts w:eastAsia="Times New Roman" w:cs="Times New Roman"/>
          <w:lang w:val="fr-FR" w:eastAsia="zh-TW"/>
        </w:rPr>
        <w:t xml:space="preserve">agissant de </w:t>
      </w:r>
      <w:r w:rsidR="00F34D47" w:rsidRPr="00971C65">
        <w:rPr>
          <w:rFonts w:eastAsia="Times New Roman" w:cs="Times New Roman"/>
          <w:lang w:val="fr-FR" w:eastAsia="zh-TW"/>
        </w:rPr>
        <w:t xml:space="preserve">la sélection des </w:t>
      </w:r>
      <w:r w:rsidR="00931F02">
        <w:rPr>
          <w:rFonts w:eastAsia="Times New Roman" w:cs="Times New Roman"/>
          <w:lang w:val="fr-FR" w:eastAsia="zh-TW"/>
        </w:rPr>
        <w:t xml:space="preserve">responsables </w:t>
      </w:r>
      <w:r w:rsidR="00F34D47" w:rsidRPr="00971C65">
        <w:rPr>
          <w:rFonts w:eastAsia="Times New Roman" w:cs="Times New Roman"/>
          <w:lang w:val="fr-FR" w:eastAsia="zh-TW"/>
        </w:rPr>
        <w:t>de ses organes subsidiaires;</w:t>
      </w:r>
      <w:r w:rsidRPr="00971C65">
        <w:rPr>
          <w:rFonts w:eastAsia="Times New Roman" w:cs="Times New Roman"/>
          <w:lang w:val="fr-FR" w:eastAsia="zh-TW"/>
        </w:rPr>
        <w:t xml:space="preserve"> </w:t>
      </w:r>
    </w:p>
    <w:p w14:paraId="638701E5" w14:textId="12C51075" w:rsidR="00424D06" w:rsidRPr="00971C65" w:rsidRDefault="00424D06" w:rsidP="00424D06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  <w:r w:rsidRPr="00971C65">
        <w:rPr>
          <w:rFonts w:eastAsia="Times New Roman" w:cs="Times New Roman"/>
          <w:lang w:val="fr-FR" w:eastAsia="zh-TW"/>
        </w:rPr>
        <w:t>2)</w:t>
      </w:r>
      <w:r w:rsidRPr="00971C65">
        <w:rPr>
          <w:rFonts w:eastAsia="Times New Roman" w:cs="Times New Roman"/>
          <w:lang w:val="fr-FR" w:eastAsia="zh-TW"/>
        </w:rPr>
        <w:tab/>
      </w:r>
      <w:r w:rsidR="00644330" w:rsidRPr="00971C65">
        <w:rPr>
          <w:rFonts w:eastAsia="Times New Roman" w:cs="Times New Roman"/>
          <w:lang w:val="fr-FR" w:eastAsia="zh-TW"/>
        </w:rPr>
        <w:t xml:space="preserve">De charger son groupe de gestion de superviser </w:t>
      </w:r>
      <w:r w:rsidR="00AC64F8" w:rsidRPr="00971C65">
        <w:rPr>
          <w:rFonts w:eastAsia="Times New Roman" w:cs="Times New Roman"/>
          <w:lang w:val="fr-FR" w:eastAsia="zh-TW"/>
        </w:rPr>
        <w:t>le développement</w:t>
      </w:r>
      <w:r w:rsidR="00644330" w:rsidRPr="00971C65">
        <w:rPr>
          <w:rFonts w:eastAsia="Times New Roman" w:cs="Times New Roman"/>
          <w:lang w:val="fr-FR" w:eastAsia="zh-TW"/>
        </w:rPr>
        <w:t xml:space="preserve"> et l</w:t>
      </w:r>
      <w:r w:rsidR="003B1030">
        <w:rPr>
          <w:rFonts w:eastAsia="Times New Roman" w:cs="Times New Roman"/>
          <w:lang w:val="fr-FR" w:eastAsia="zh-TW"/>
        </w:rPr>
        <w:t>’</w:t>
      </w:r>
      <w:r w:rsidR="00EF2586" w:rsidRPr="00971C65">
        <w:rPr>
          <w:rFonts w:eastAsia="Times New Roman" w:cs="Times New Roman"/>
          <w:lang w:val="fr-FR" w:eastAsia="zh-TW"/>
        </w:rPr>
        <w:t>application</w:t>
      </w:r>
      <w:r w:rsidR="00B52AC9" w:rsidRPr="00971C65">
        <w:rPr>
          <w:rFonts w:eastAsia="Times New Roman" w:cs="Times New Roman"/>
          <w:lang w:val="fr-FR" w:eastAsia="zh-TW"/>
        </w:rPr>
        <w:t xml:space="preserve"> </w:t>
      </w:r>
      <w:r w:rsidR="00644330" w:rsidRPr="00971C65">
        <w:rPr>
          <w:rFonts w:eastAsia="Times New Roman" w:cs="Times New Roman"/>
          <w:lang w:val="fr-FR" w:eastAsia="zh-TW"/>
        </w:rPr>
        <w:t>con</w:t>
      </w:r>
      <w:r w:rsidR="00247507">
        <w:rPr>
          <w:rFonts w:eastAsia="Times New Roman" w:cs="Times New Roman"/>
          <w:lang w:val="fr-FR" w:eastAsia="zh-TW"/>
        </w:rPr>
        <w:t>tinus</w:t>
      </w:r>
      <w:r w:rsidR="00644330" w:rsidRPr="00971C65">
        <w:rPr>
          <w:rFonts w:eastAsia="Times New Roman" w:cs="Times New Roman"/>
          <w:lang w:val="fr-FR" w:eastAsia="zh-TW"/>
        </w:rPr>
        <w:t xml:space="preserve"> de principes généraux visant à parvenir à une représentation plus équilibrée </w:t>
      </w:r>
      <w:r w:rsidR="00343663">
        <w:rPr>
          <w:rFonts w:eastAsia="Times New Roman" w:cs="Times New Roman"/>
          <w:lang w:val="fr-FR" w:eastAsia="zh-TW"/>
        </w:rPr>
        <w:t>pour ce qui est</w:t>
      </w:r>
      <w:r w:rsidR="00644330" w:rsidRPr="00971C65">
        <w:rPr>
          <w:rFonts w:eastAsia="Times New Roman" w:cs="Times New Roman"/>
          <w:lang w:val="fr-FR" w:eastAsia="zh-TW"/>
        </w:rPr>
        <w:t xml:space="preserve"> des experts participant aux activités des organes subsidiaires des commissions techniques ou en assurant la direction</w:t>
      </w:r>
      <w:r w:rsidR="0074576F">
        <w:rPr>
          <w:rFonts w:eastAsia="Times New Roman" w:cs="Times New Roman"/>
          <w:lang w:val="fr-FR" w:eastAsia="zh-TW"/>
        </w:rPr>
        <w:t>.</w:t>
      </w:r>
    </w:p>
    <w:p w14:paraId="4D609392" w14:textId="1C98E0ED" w:rsidR="005267B4" w:rsidRDefault="005267B4" w:rsidP="005267B4">
      <w:pPr>
        <w:tabs>
          <w:tab w:val="clear" w:pos="1134"/>
        </w:tabs>
        <w:spacing w:before="240"/>
        <w:jc w:val="left"/>
        <w:rPr>
          <w:rFonts w:eastAsia="Verdana" w:cs="Verdana"/>
          <w:lang w:val="fr-FR" w:eastAsia="zh-TW"/>
        </w:rPr>
      </w:pPr>
      <w:r w:rsidRPr="00971C65">
        <w:rPr>
          <w:rFonts w:eastAsia="Verdana" w:cs="Verdana"/>
          <w:lang w:val="fr-FR" w:eastAsia="zh-TW"/>
        </w:rPr>
        <w:t>Voir l</w:t>
      </w:r>
      <w:r w:rsidR="003B1030">
        <w:rPr>
          <w:rFonts w:eastAsia="Verdana" w:cs="Verdana"/>
          <w:lang w:val="fr-FR" w:eastAsia="zh-TW"/>
        </w:rPr>
        <w:t>’</w:t>
      </w:r>
      <w:hyperlink w:anchor="Annexe_decision" w:history="1">
        <w:r w:rsidRPr="00971C65">
          <w:rPr>
            <w:rStyle w:val="Hyperlink"/>
            <w:rFonts w:eastAsia="Verdana" w:cs="Verdana"/>
            <w:lang w:val="fr-FR" w:eastAsia="zh-TW"/>
          </w:rPr>
          <w:t>annexe</w:t>
        </w:r>
      </w:hyperlink>
      <w:r w:rsidRPr="00971C65">
        <w:rPr>
          <w:rFonts w:eastAsia="Verdana" w:cs="Verdana"/>
          <w:lang w:val="fr-FR" w:eastAsia="zh-TW"/>
        </w:rPr>
        <w:t xml:space="preserve"> de la présente décision.</w:t>
      </w:r>
    </w:p>
    <w:p w14:paraId="1758C665" w14:textId="77777777" w:rsidR="00A41A2E" w:rsidRPr="006B67BD" w:rsidRDefault="00A41A2E" w:rsidP="00A41A2E">
      <w:pPr>
        <w:pStyle w:val="WMOBodyText"/>
        <w:jc w:val="center"/>
        <w:rPr>
          <w:lang w:val="fr-FR"/>
        </w:rPr>
      </w:pPr>
      <w:r w:rsidRPr="006B67BD">
        <w:rPr>
          <w:lang w:val="fr-FR"/>
        </w:rPr>
        <w:t>__________</w:t>
      </w:r>
    </w:p>
    <w:p w14:paraId="3CCB9969" w14:textId="5A4C4600" w:rsidR="00E22AD8" w:rsidRPr="00E22AD8" w:rsidRDefault="006B67BD" w:rsidP="00E22AD8">
      <w:pPr>
        <w:pStyle w:val="WMOBodyText"/>
        <w:rPr>
          <w:lang w:val="fr-FR"/>
        </w:rPr>
      </w:pPr>
      <w:hyperlink w:anchor="Annexe_decision" w:history="1">
        <w:r w:rsidR="00E22AD8" w:rsidRPr="00E22AD8">
          <w:rPr>
            <w:rStyle w:val="Hyperlink"/>
            <w:lang w:val="fr-FR"/>
          </w:rPr>
          <w:t>Annexe: 1</w:t>
        </w:r>
      </w:hyperlink>
    </w:p>
    <w:p w14:paraId="3DD662FC" w14:textId="77777777" w:rsidR="0037222D" w:rsidRPr="00971C65" w:rsidRDefault="0037222D" w:rsidP="0037222D">
      <w:pPr>
        <w:pStyle w:val="WMOBodyText"/>
        <w:rPr>
          <w:lang w:val="fr-FR"/>
        </w:rPr>
      </w:pPr>
      <w:r w:rsidRPr="00971C65">
        <w:rPr>
          <w:lang w:val="fr-FR"/>
        </w:rPr>
        <w:t>_______</w:t>
      </w:r>
    </w:p>
    <w:p w14:paraId="5326BDFA" w14:textId="77777777" w:rsidR="000E21D8" w:rsidRDefault="00442C11" w:rsidP="00A9720F">
      <w:pPr>
        <w:pStyle w:val="WMOBodyText"/>
        <w:rPr>
          <w:lang w:val="fr-FR"/>
        </w:rPr>
      </w:pPr>
      <w:r w:rsidRPr="00971C65">
        <w:rPr>
          <w:lang w:val="fr-FR"/>
        </w:rPr>
        <w:t>Justification de la décision:</w:t>
      </w:r>
    </w:p>
    <w:p w14:paraId="21F3EA63" w14:textId="3DF02551" w:rsidR="00186278" w:rsidRPr="00971C65" w:rsidRDefault="00FD7378" w:rsidP="00A9720F">
      <w:pPr>
        <w:pStyle w:val="WMOBodyText"/>
        <w:rPr>
          <w:lang w:val="fr-FR"/>
        </w:rPr>
      </w:pPr>
      <w:r w:rsidRPr="00971C65">
        <w:rPr>
          <w:lang w:val="fr-FR"/>
        </w:rPr>
        <w:t>À la suite de l</w:t>
      </w:r>
      <w:r w:rsidR="003B1030">
        <w:rPr>
          <w:lang w:val="fr-FR"/>
        </w:rPr>
        <w:t>’</w:t>
      </w:r>
      <w:r w:rsidRPr="00971C65">
        <w:rPr>
          <w:lang w:val="fr-FR"/>
        </w:rPr>
        <w:t xml:space="preserve">approbation de la </w:t>
      </w:r>
      <w:hyperlink r:id="rId14" w:history="1">
        <w:r w:rsidRPr="00971C65">
          <w:rPr>
            <w:rStyle w:val="Hyperlink"/>
            <w:lang w:val="fr-FR"/>
          </w:rPr>
          <w:t>résolution 40 (</w:t>
        </w:r>
        <w:proofErr w:type="spellStart"/>
        <w:r w:rsidRPr="00971C65">
          <w:rPr>
            <w:rStyle w:val="Hyperlink"/>
            <w:lang w:val="fr-FR"/>
          </w:rPr>
          <w:t>Cg-19</w:t>
        </w:r>
        <w:proofErr w:type="spellEnd"/>
        <w:r w:rsidRPr="00971C65">
          <w:rPr>
            <w:rStyle w:val="Hyperlink"/>
            <w:lang w:val="fr-FR"/>
          </w:rPr>
          <w:t>)</w:t>
        </w:r>
      </w:hyperlink>
      <w:r w:rsidRPr="00971C65">
        <w:rPr>
          <w:lang w:val="fr-FR"/>
        </w:rPr>
        <w:t xml:space="preserve"> </w:t>
      </w:r>
      <w:r w:rsidR="00776438">
        <w:rPr>
          <w:lang w:val="fr-FR"/>
        </w:rPr>
        <w:t>–</w:t>
      </w:r>
      <w:r w:rsidRPr="00971C65">
        <w:rPr>
          <w:lang w:val="fr-FR"/>
        </w:rPr>
        <w:t xml:space="preserve"> </w:t>
      </w:r>
      <w:r w:rsidR="00A9720F" w:rsidRPr="00971C65">
        <w:rPr>
          <w:lang w:val="fr-FR"/>
        </w:rPr>
        <w:t>Mesures visant à favoriser une gouvernance inclusive, transparente et écologiquement viable</w:t>
      </w:r>
      <w:r w:rsidRPr="00971C65">
        <w:rPr>
          <w:lang w:val="fr-FR"/>
        </w:rPr>
        <w:t xml:space="preserve">, il a été demandé à la </w:t>
      </w:r>
      <w:proofErr w:type="spellStart"/>
      <w:r w:rsidRPr="00971C65">
        <w:rPr>
          <w:lang w:val="fr-FR"/>
        </w:rPr>
        <w:t>SERCOM</w:t>
      </w:r>
      <w:proofErr w:type="spellEnd"/>
      <w:r w:rsidRPr="00971C65">
        <w:rPr>
          <w:lang w:val="fr-FR"/>
        </w:rPr>
        <w:t xml:space="preserve"> et à l</w:t>
      </w:r>
      <w:r w:rsidR="003B1030">
        <w:rPr>
          <w:lang w:val="fr-FR"/>
        </w:rPr>
        <w:t>’</w:t>
      </w:r>
      <w:proofErr w:type="spellStart"/>
      <w:r w:rsidRPr="00971C65">
        <w:rPr>
          <w:lang w:val="fr-FR"/>
        </w:rPr>
        <w:t>INFCOM</w:t>
      </w:r>
      <w:proofErr w:type="spellEnd"/>
      <w:r w:rsidRPr="00971C65">
        <w:rPr>
          <w:lang w:val="fr-FR"/>
        </w:rPr>
        <w:t xml:space="preserve"> d</w:t>
      </w:r>
      <w:r w:rsidR="003B1030">
        <w:rPr>
          <w:lang w:val="fr-FR"/>
        </w:rPr>
        <w:t>’</w:t>
      </w:r>
      <w:r w:rsidRPr="00971C65">
        <w:rPr>
          <w:lang w:val="fr-FR"/>
        </w:rPr>
        <w:t xml:space="preserve">instaurer de bonnes pratiques pour faciliter une représentation équilibrée des Régions, des Membres et des </w:t>
      </w:r>
      <w:r w:rsidR="005B2E2F">
        <w:rPr>
          <w:lang w:val="fr-FR"/>
        </w:rPr>
        <w:t>genres</w:t>
      </w:r>
      <w:r w:rsidRPr="00971C65">
        <w:rPr>
          <w:lang w:val="fr-FR"/>
        </w:rPr>
        <w:t xml:space="preserve"> </w:t>
      </w:r>
      <w:r w:rsidR="00E2057E">
        <w:rPr>
          <w:lang w:val="fr-FR"/>
        </w:rPr>
        <w:t>s</w:t>
      </w:r>
      <w:r w:rsidR="003B1030">
        <w:rPr>
          <w:lang w:val="fr-FR"/>
        </w:rPr>
        <w:t>’</w:t>
      </w:r>
      <w:r w:rsidR="00E2057E">
        <w:rPr>
          <w:lang w:val="fr-FR"/>
        </w:rPr>
        <w:t>agissant d</w:t>
      </w:r>
      <w:r w:rsidR="00EF6DB8">
        <w:rPr>
          <w:lang w:val="fr-FR"/>
        </w:rPr>
        <w:t xml:space="preserve">es responsables </w:t>
      </w:r>
      <w:r w:rsidRPr="00971C65">
        <w:rPr>
          <w:lang w:val="fr-FR"/>
        </w:rPr>
        <w:t xml:space="preserve">de leurs organes subsidiaires </w:t>
      </w:r>
      <w:r w:rsidR="00E2057E">
        <w:rPr>
          <w:lang w:val="fr-FR"/>
        </w:rPr>
        <w:t>ainsi que d</w:t>
      </w:r>
      <w:r w:rsidRPr="00971C65">
        <w:rPr>
          <w:lang w:val="fr-FR"/>
        </w:rPr>
        <w:t>es experts techniques</w:t>
      </w:r>
      <w:r w:rsidR="00A9720F" w:rsidRPr="00971C65">
        <w:rPr>
          <w:lang w:val="fr-FR"/>
        </w:rPr>
        <w:t xml:space="preserve"> </w:t>
      </w:r>
      <w:r w:rsidRPr="00971C65">
        <w:rPr>
          <w:lang w:val="fr-FR"/>
        </w:rPr>
        <w:t>participant à leurs activités</w:t>
      </w:r>
      <w:r w:rsidR="00A9720F" w:rsidRPr="00971C65">
        <w:rPr>
          <w:lang w:val="fr-FR"/>
        </w:rPr>
        <w:t>.</w:t>
      </w:r>
    </w:p>
    <w:p w14:paraId="2573A67E" w14:textId="78B10781" w:rsidR="00186278" w:rsidRPr="00971C65" w:rsidRDefault="00104F3C" w:rsidP="00186278">
      <w:pPr>
        <w:pStyle w:val="WMOBodyText"/>
        <w:rPr>
          <w:lang w:val="fr-FR"/>
        </w:rPr>
      </w:pPr>
      <w:r w:rsidRPr="00971C65">
        <w:rPr>
          <w:lang w:val="fr-FR"/>
        </w:rPr>
        <w:t xml:space="preserve">Un ensemble de mesures possibles a été présenté dans le document </w:t>
      </w:r>
      <w:hyperlink r:id="rId15">
        <w:proofErr w:type="spellStart"/>
        <w:r w:rsidR="00186278" w:rsidRPr="00971C65">
          <w:rPr>
            <w:rStyle w:val="Hyperlink"/>
            <w:lang w:val="fr-FR"/>
          </w:rPr>
          <w:t>Cg-19</w:t>
        </w:r>
        <w:proofErr w:type="spellEnd"/>
        <w:r w:rsidR="00186278" w:rsidRPr="00971C65">
          <w:rPr>
            <w:rStyle w:val="Hyperlink"/>
            <w:lang w:val="fr-FR"/>
          </w:rPr>
          <w:t>/INF. 4.5(</w:t>
        </w:r>
        <w:proofErr w:type="spellStart"/>
        <w:r w:rsidR="00186278" w:rsidRPr="00971C65">
          <w:rPr>
            <w:rStyle w:val="Hyperlink"/>
            <w:lang w:val="fr-FR"/>
          </w:rPr>
          <w:t>2a</w:t>
        </w:r>
        <w:proofErr w:type="spellEnd"/>
        <w:r w:rsidR="00186278" w:rsidRPr="00971C65">
          <w:rPr>
            <w:rStyle w:val="Hyperlink"/>
            <w:lang w:val="fr-FR"/>
          </w:rPr>
          <w:t>)</w:t>
        </w:r>
      </w:hyperlink>
      <w:r w:rsidR="00186278" w:rsidRPr="00971C65">
        <w:rPr>
          <w:rStyle w:val="Hyperlink"/>
          <w:lang w:val="fr-FR"/>
        </w:rPr>
        <w:t xml:space="preserve">. </w:t>
      </w:r>
      <w:r w:rsidR="00270E9C" w:rsidRPr="00971C65">
        <w:rPr>
          <w:lang w:val="fr-FR"/>
        </w:rPr>
        <w:t>Le Groupe de gestion de la SERCOM a affiné ces mesures en élaborant les critères contenus dans le projet de décision, sur la base des conclusions de la première réunion du Comité de coordination technique (17-19 octobre 2023).</w:t>
      </w:r>
    </w:p>
    <w:p w14:paraId="60C6F109" w14:textId="671B3DAF" w:rsidR="00186278" w:rsidRPr="00971C65" w:rsidRDefault="006F7126" w:rsidP="00186278">
      <w:pPr>
        <w:pStyle w:val="WMOBodyText"/>
        <w:rPr>
          <w:lang w:val="fr-FR"/>
        </w:rPr>
      </w:pPr>
      <w:r w:rsidRPr="00971C65">
        <w:rPr>
          <w:lang w:val="fr-FR"/>
        </w:rPr>
        <w:t>Les activités du Groupe de gestion de la SERCOM sont régies par le</w:t>
      </w:r>
      <w:r w:rsidR="008408B8" w:rsidRPr="00971C65">
        <w:rPr>
          <w:lang w:val="fr-FR"/>
        </w:rPr>
        <w:t>s attributions</w:t>
      </w:r>
      <w:r w:rsidRPr="00971C65">
        <w:rPr>
          <w:lang w:val="fr-FR"/>
        </w:rPr>
        <w:t xml:space="preserve"> général</w:t>
      </w:r>
      <w:r w:rsidR="008408B8" w:rsidRPr="00971C65">
        <w:rPr>
          <w:lang w:val="fr-FR"/>
        </w:rPr>
        <w:t>es</w:t>
      </w:r>
      <w:r w:rsidRPr="00971C65">
        <w:rPr>
          <w:lang w:val="fr-FR"/>
        </w:rPr>
        <w:t xml:space="preserve"> des commissions techniques, qui figure</w:t>
      </w:r>
      <w:r w:rsidR="008408B8" w:rsidRPr="00971C65">
        <w:rPr>
          <w:lang w:val="fr-FR"/>
        </w:rPr>
        <w:t>nt</w:t>
      </w:r>
      <w:r w:rsidRPr="00971C65">
        <w:rPr>
          <w:lang w:val="fr-FR"/>
        </w:rPr>
        <w:t xml:space="preserve"> dans l</w:t>
      </w:r>
      <w:r w:rsidR="003B1030">
        <w:rPr>
          <w:lang w:val="fr-FR"/>
        </w:rPr>
        <w:t>’</w:t>
      </w:r>
      <w:r w:rsidRPr="00971C65">
        <w:rPr>
          <w:lang w:val="fr-FR"/>
        </w:rPr>
        <w:t xml:space="preserve">annexe III du </w:t>
      </w:r>
      <w:hyperlink r:id="rId16" w:history="1">
        <w:r w:rsidRPr="00971C65">
          <w:rPr>
            <w:rStyle w:val="Hyperlink"/>
            <w:i/>
            <w:iCs/>
            <w:lang w:val="fr-FR"/>
          </w:rPr>
          <w:t>Règlement intérieur des commissions techniques</w:t>
        </w:r>
      </w:hyperlink>
      <w:r w:rsidRPr="00971C65">
        <w:rPr>
          <w:lang w:val="fr-FR"/>
        </w:rPr>
        <w:t xml:space="preserve"> (OMM-N°</w:t>
      </w:r>
      <w:r w:rsidR="00EE41E5">
        <w:rPr>
          <w:lang w:val="fr-FR"/>
        </w:rPr>
        <w:t> </w:t>
      </w:r>
      <w:r w:rsidRPr="00971C65">
        <w:rPr>
          <w:lang w:val="fr-FR"/>
        </w:rPr>
        <w:t xml:space="preserve">1240), </w:t>
      </w:r>
      <w:r w:rsidR="002E273D">
        <w:rPr>
          <w:lang w:val="fr-FR"/>
        </w:rPr>
        <w:t xml:space="preserve">lequel a été </w:t>
      </w:r>
      <w:r w:rsidRPr="00971C65">
        <w:rPr>
          <w:lang w:val="fr-FR"/>
        </w:rPr>
        <w:t xml:space="preserve">modifié </w:t>
      </w:r>
      <w:r w:rsidR="002E273D">
        <w:rPr>
          <w:lang w:val="fr-FR"/>
        </w:rPr>
        <w:t xml:space="preserve">pour </w:t>
      </w:r>
      <w:r w:rsidRPr="00971C65">
        <w:rPr>
          <w:lang w:val="fr-FR"/>
        </w:rPr>
        <w:t xml:space="preserve">la dernière fois </w:t>
      </w:r>
      <w:r w:rsidR="00C7748B">
        <w:rPr>
          <w:lang w:val="fr-FR"/>
        </w:rPr>
        <w:t>via</w:t>
      </w:r>
      <w:r w:rsidRPr="00971C65">
        <w:rPr>
          <w:lang w:val="fr-FR"/>
        </w:rPr>
        <w:t xml:space="preserve"> </w:t>
      </w:r>
      <w:r w:rsidR="00B86096" w:rsidRPr="00971C65">
        <w:rPr>
          <w:lang w:val="fr-FR"/>
        </w:rPr>
        <w:t xml:space="preserve">la </w:t>
      </w:r>
      <w:hyperlink r:id="rId17" w:history="1">
        <w:r w:rsidR="00B86096" w:rsidRPr="00971C65">
          <w:rPr>
            <w:rStyle w:val="Hyperlink"/>
            <w:lang w:val="fr-FR"/>
          </w:rPr>
          <w:t>ré</w:t>
        </w:r>
        <w:r w:rsidR="00186278" w:rsidRPr="00971C65">
          <w:rPr>
            <w:rStyle w:val="Hyperlink"/>
            <w:lang w:val="fr-FR"/>
          </w:rPr>
          <w:t>solution 4 (EC-77)</w:t>
        </w:r>
      </w:hyperlink>
      <w:r w:rsidR="00186278" w:rsidRPr="00971C65">
        <w:rPr>
          <w:lang w:val="fr-FR"/>
        </w:rPr>
        <w:t xml:space="preserve"> – </w:t>
      </w:r>
      <w:r w:rsidR="00AD1A43" w:rsidRPr="00971C65">
        <w:rPr>
          <w:lang w:val="fr-FR"/>
        </w:rPr>
        <w:t xml:space="preserve">Modifications à apporter au </w:t>
      </w:r>
      <w:r w:rsidR="00AD1A43" w:rsidRPr="00971C65">
        <w:rPr>
          <w:i/>
          <w:iCs/>
          <w:lang w:val="fr-FR"/>
        </w:rPr>
        <w:t>Règlement intérieur des commissions techniques</w:t>
      </w:r>
      <w:r w:rsidR="00AD1A43" w:rsidRPr="00971C65">
        <w:rPr>
          <w:lang w:val="fr-FR"/>
        </w:rPr>
        <w:t xml:space="preserve"> (OMM-N°</w:t>
      </w:r>
      <w:r w:rsidR="00EE41E5">
        <w:rPr>
          <w:lang w:val="fr-FR"/>
        </w:rPr>
        <w:t> </w:t>
      </w:r>
      <w:r w:rsidR="00AD1A43" w:rsidRPr="00971C65">
        <w:rPr>
          <w:lang w:val="fr-FR"/>
        </w:rPr>
        <w:t>1240)</w:t>
      </w:r>
      <w:r w:rsidR="00186278" w:rsidRPr="00971C65">
        <w:rPr>
          <w:lang w:val="fr-FR"/>
        </w:rPr>
        <w:t xml:space="preserve">. </w:t>
      </w:r>
    </w:p>
    <w:p w14:paraId="64A0240D" w14:textId="68E0ACE5" w:rsidR="00442C11" w:rsidRDefault="005F7B9C" w:rsidP="00186278">
      <w:pPr>
        <w:tabs>
          <w:tab w:val="clear" w:pos="1134"/>
          <w:tab w:val="left" w:pos="2977"/>
        </w:tabs>
        <w:spacing w:before="240"/>
        <w:jc w:val="left"/>
        <w:rPr>
          <w:lang w:val="fr-FR"/>
        </w:rPr>
      </w:pPr>
      <w:r w:rsidRPr="00971C65">
        <w:rPr>
          <w:lang w:val="fr-FR"/>
        </w:rPr>
        <w:t xml:space="preserve">La </w:t>
      </w:r>
      <w:r w:rsidR="00C7748B">
        <w:rPr>
          <w:lang w:val="fr-FR"/>
        </w:rPr>
        <w:t xml:space="preserve">présente </w:t>
      </w:r>
      <w:r w:rsidRPr="00971C65">
        <w:rPr>
          <w:lang w:val="fr-FR"/>
        </w:rPr>
        <w:t>proposition de décision est conforme à l</w:t>
      </w:r>
      <w:r w:rsidR="003B1030">
        <w:rPr>
          <w:lang w:val="fr-FR"/>
        </w:rPr>
        <w:t>’</w:t>
      </w:r>
      <w:hyperlink r:id="rId18" w:history="1">
        <w:r w:rsidRPr="00971C65">
          <w:rPr>
            <w:rStyle w:val="Hyperlink"/>
            <w:lang w:val="fr-FR"/>
          </w:rPr>
          <w:t>article 5.2</w:t>
        </w:r>
      </w:hyperlink>
      <w:r w:rsidRPr="00971C65">
        <w:rPr>
          <w:lang w:val="fr-FR"/>
        </w:rPr>
        <w:t xml:space="preserve"> du </w:t>
      </w:r>
      <w:hyperlink r:id="rId19" w:history="1">
        <w:r w:rsidRPr="00971C65">
          <w:rPr>
            <w:rStyle w:val="Hyperlink"/>
            <w:i/>
            <w:iCs/>
            <w:lang w:val="fr-FR"/>
          </w:rPr>
          <w:t>Règlement intérieur des commissions techniques</w:t>
        </w:r>
      </w:hyperlink>
      <w:r w:rsidRPr="00971C65">
        <w:rPr>
          <w:lang w:val="fr-FR"/>
        </w:rPr>
        <w:t xml:space="preserve"> (OMM-N° 1240</w:t>
      </w:r>
      <w:r w:rsidR="00A301AF" w:rsidRPr="00971C65">
        <w:rPr>
          <w:lang w:val="fr-FR"/>
        </w:rPr>
        <w:t>,</w:t>
      </w:r>
      <w:r w:rsidRPr="00971C65">
        <w:rPr>
          <w:lang w:val="fr-FR"/>
        </w:rPr>
        <w:t xml:space="preserve"> édition 2023)</w:t>
      </w:r>
      <w:r w:rsidR="007A47F1" w:rsidRPr="00971C65">
        <w:rPr>
          <w:lang w:val="fr-FR"/>
        </w:rPr>
        <w:t>.</w:t>
      </w:r>
    </w:p>
    <w:p w14:paraId="3F21564A" w14:textId="77777777" w:rsidR="00A41A2E" w:rsidRPr="00A41A2E" w:rsidRDefault="00A41A2E" w:rsidP="00A41A2E">
      <w:pPr>
        <w:pStyle w:val="WMOBodyText"/>
        <w:jc w:val="center"/>
        <w:rPr>
          <w:lang w:val="fr-FR"/>
        </w:rPr>
      </w:pPr>
      <w:r w:rsidRPr="00A41A2E">
        <w:rPr>
          <w:lang w:val="fr-FR"/>
        </w:rPr>
        <w:t>__________</w:t>
      </w:r>
    </w:p>
    <w:p w14:paraId="6E940400" w14:textId="61BD6436" w:rsidR="0037222D" w:rsidRPr="00971C65" w:rsidRDefault="00A350FC" w:rsidP="0037222D">
      <w:pPr>
        <w:pStyle w:val="Heading2"/>
        <w:pageBreakBefore/>
        <w:rPr>
          <w:lang w:val="fr-FR"/>
        </w:rPr>
      </w:pPr>
      <w:bookmarkStart w:id="2" w:name="Annexe_decision"/>
      <w:r w:rsidRPr="00971C65">
        <w:rPr>
          <w:lang w:val="fr-FR"/>
        </w:rPr>
        <w:lastRenderedPageBreak/>
        <w:t xml:space="preserve">Annexe du projet de décision </w:t>
      </w:r>
      <w:r w:rsidR="0020370D" w:rsidRPr="00971C65">
        <w:rPr>
          <w:lang w:val="fr-FR"/>
        </w:rPr>
        <w:t>6</w:t>
      </w:r>
      <w:r w:rsidRPr="00971C65">
        <w:rPr>
          <w:lang w:val="fr-FR"/>
        </w:rPr>
        <w:t>/</w:t>
      </w:r>
      <w:r w:rsidR="0037222D" w:rsidRPr="00971C65">
        <w:rPr>
          <w:lang w:val="fr-FR"/>
        </w:rPr>
        <w:t xml:space="preserve">1 </w:t>
      </w:r>
      <w:r w:rsidR="00F21B41" w:rsidRPr="00971C65">
        <w:rPr>
          <w:lang w:val="fr-FR"/>
        </w:rPr>
        <w:t>(SERCOM-</w:t>
      </w:r>
      <w:r w:rsidR="00250A6B" w:rsidRPr="00971C65">
        <w:rPr>
          <w:lang w:val="fr-FR"/>
        </w:rPr>
        <w:t>3</w:t>
      </w:r>
      <w:r w:rsidR="00F21B41" w:rsidRPr="00971C65">
        <w:rPr>
          <w:lang w:val="fr-FR"/>
        </w:rPr>
        <w:t>)</w:t>
      </w:r>
    </w:p>
    <w:bookmarkEnd w:id="2"/>
    <w:p w14:paraId="3F6A68D0" w14:textId="5ABFE6D5" w:rsidR="0037222D" w:rsidRPr="00971C65" w:rsidRDefault="001F3121" w:rsidP="0037222D">
      <w:pPr>
        <w:pStyle w:val="Heading2"/>
        <w:rPr>
          <w:lang w:val="fr-FR"/>
        </w:rPr>
      </w:pPr>
      <w:r w:rsidRPr="00971C65">
        <w:rPr>
          <w:lang w:val="fr-FR"/>
        </w:rPr>
        <w:t xml:space="preserve">Principes généraux </w:t>
      </w:r>
      <w:r w:rsidR="0035577C" w:rsidRPr="00971C65">
        <w:rPr>
          <w:lang w:val="fr-FR"/>
        </w:rPr>
        <w:t>de sélection des responsables des organes subsidiaires</w:t>
      </w:r>
      <w:r w:rsidR="00EE41E5">
        <w:rPr>
          <w:lang w:val="fr-FR"/>
        </w:rPr>
        <w:t> </w:t>
      </w:r>
      <w:r w:rsidR="0035577C" w:rsidRPr="00971C65">
        <w:rPr>
          <w:lang w:val="fr-FR"/>
        </w:rPr>
        <w:t xml:space="preserve">de la </w:t>
      </w:r>
      <w:proofErr w:type="spellStart"/>
      <w:r w:rsidR="0035577C" w:rsidRPr="00971C65">
        <w:rPr>
          <w:lang w:val="fr-FR"/>
        </w:rPr>
        <w:t>SERCOM</w:t>
      </w:r>
      <w:proofErr w:type="spellEnd"/>
    </w:p>
    <w:p w14:paraId="5DF998BD" w14:textId="7F2D6885" w:rsidR="003500B9" w:rsidRPr="00971C65" w:rsidRDefault="003500B9" w:rsidP="00EE41E5">
      <w:pPr>
        <w:pStyle w:val="WMOBodyText"/>
        <w:rPr>
          <w:lang w:val="fr-FR"/>
        </w:rPr>
      </w:pPr>
      <w:r w:rsidRPr="00971C65">
        <w:rPr>
          <w:lang w:val="fr-FR"/>
        </w:rPr>
        <w:t xml:space="preserve">Lors de sa deuxième réunion en présentiel (30 octobre-2 novembre 2023), le Groupe de gestion de la SERCOM </w:t>
      </w:r>
      <w:r w:rsidR="00962671">
        <w:rPr>
          <w:lang w:val="fr-FR"/>
        </w:rPr>
        <w:t>a sousc</w:t>
      </w:r>
      <w:r w:rsidR="005E3ACD">
        <w:rPr>
          <w:lang w:val="fr-FR"/>
        </w:rPr>
        <w:t xml:space="preserve">rit aux </w:t>
      </w:r>
      <w:r w:rsidRPr="00971C65">
        <w:rPr>
          <w:lang w:val="fr-FR"/>
        </w:rPr>
        <w:t xml:space="preserve">principes </w:t>
      </w:r>
      <w:r w:rsidR="008535E6">
        <w:rPr>
          <w:lang w:val="fr-FR"/>
        </w:rPr>
        <w:t xml:space="preserve">ci-dessous </w:t>
      </w:r>
      <w:r w:rsidRPr="00971C65">
        <w:rPr>
          <w:lang w:val="fr-FR"/>
        </w:rPr>
        <w:t>pour la sélection des responsables des organes subsidiaires de la SERCOM (un astérisque indique un principe déjà inscrit dans l</w:t>
      </w:r>
      <w:r w:rsidR="003B1030">
        <w:rPr>
          <w:lang w:val="fr-FR"/>
        </w:rPr>
        <w:t>’</w:t>
      </w:r>
      <w:r w:rsidRPr="00971C65">
        <w:rPr>
          <w:lang w:val="fr-FR"/>
        </w:rPr>
        <w:t>édition</w:t>
      </w:r>
      <w:r w:rsidR="008535E6">
        <w:rPr>
          <w:lang w:val="fr-FR"/>
        </w:rPr>
        <w:t> </w:t>
      </w:r>
      <w:r w:rsidRPr="00971C65">
        <w:rPr>
          <w:lang w:val="fr-FR"/>
        </w:rPr>
        <w:t xml:space="preserve">2023 du </w:t>
      </w:r>
      <w:hyperlink r:id="rId20" w:history="1">
        <w:r w:rsidR="007C367C" w:rsidRPr="00971C65">
          <w:rPr>
            <w:rStyle w:val="Hyperlink"/>
            <w:i/>
            <w:iCs/>
            <w:lang w:val="fr-FR"/>
          </w:rPr>
          <w:t>Règlement intérieur des commissions techniques</w:t>
        </w:r>
      </w:hyperlink>
      <w:r w:rsidR="007C367C" w:rsidRPr="00971C65">
        <w:rPr>
          <w:lang w:val="fr-FR"/>
        </w:rPr>
        <w:t xml:space="preserve"> (OMM-N° 1240</w:t>
      </w:r>
      <w:r w:rsidR="00A301AF" w:rsidRPr="00971C65">
        <w:rPr>
          <w:lang w:val="fr-FR"/>
        </w:rPr>
        <w:t>,</w:t>
      </w:r>
      <w:r w:rsidR="007C367C" w:rsidRPr="00971C65">
        <w:rPr>
          <w:lang w:val="fr-FR"/>
        </w:rPr>
        <w:t xml:space="preserve"> édition</w:t>
      </w:r>
      <w:r w:rsidR="0033648C">
        <w:rPr>
          <w:lang w:val="fr-FR"/>
        </w:rPr>
        <w:t> </w:t>
      </w:r>
      <w:r w:rsidR="007C367C" w:rsidRPr="00971C65">
        <w:rPr>
          <w:lang w:val="fr-FR"/>
        </w:rPr>
        <w:t>2023)</w:t>
      </w:r>
      <w:r w:rsidR="007133CA">
        <w:rPr>
          <w:lang w:val="fr-FR"/>
        </w:rPr>
        <w:t>)</w:t>
      </w:r>
      <w:r w:rsidR="007C367C" w:rsidRPr="00971C65">
        <w:rPr>
          <w:lang w:val="fr-FR"/>
        </w:rPr>
        <w:t>.</w:t>
      </w:r>
    </w:p>
    <w:p w14:paraId="7AE6B3D2" w14:textId="4E90B49D" w:rsidR="009F2973" w:rsidRPr="00971C65" w:rsidRDefault="009F2973" w:rsidP="009F2973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971C65">
        <w:rPr>
          <w:lang w:val="fr-FR"/>
        </w:rPr>
        <w:t>1)</w:t>
      </w:r>
      <w:r w:rsidRPr="00971C65">
        <w:rPr>
          <w:lang w:val="fr-FR"/>
        </w:rPr>
        <w:tab/>
      </w:r>
      <w:r w:rsidR="003067CC" w:rsidRPr="00971C65">
        <w:rPr>
          <w:lang w:val="fr-FR"/>
        </w:rPr>
        <w:t>Le p</w:t>
      </w:r>
      <w:r w:rsidRPr="00971C65">
        <w:rPr>
          <w:lang w:val="fr-FR"/>
        </w:rPr>
        <w:t>r</w:t>
      </w:r>
      <w:r w:rsidR="003067CC" w:rsidRPr="00971C65">
        <w:rPr>
          <w:lang w:val="fr-FR"/>
        </w:rPr>
        <w:t>é</w:t>
      </w:r>
      <w:r w:rsidRPr="00971C65">
        <w:rPr>
          <w:lang w:val="fr-FR"/>
        </w:rPr>
        <w:t xml:space="preserve">sident </w:t>
      </w:r>
      <w:r w:rsidR="003067CC" w:rsidRPr="00971C65">
        <w:rPr>
          <w:lang w:val="fr-FR"/>
        </w:rPr>
        <w:t>et les vice</w:t>
      </w:r>
      <w:r w:rsidRPr="00971C65">
        <w:rPr>
          <w:lang w:val="fr-FR"/>
        </w:rPr>
        <w:t>-pr</w:t>
      </w:r>
      <w:r w:rsidR="003067CC" w:rsidRPr="00971C65">
        <w:rPr>
          <w:lang w:val="fr-FR"/>
        </w:rPr>
        <w:t>é</w:t>
      </w:r>
      <w:r w:rsidRPr="00971C65">
        <w:rPr>
          <w:lang w:val="fr-FR"/>
        </w:rPr>
        <w:t xml:space="preserve">sidents </w:t>
      </w:r>
      <w:r w:rsidR="003067CC" w:rsidRPr="00971C65">
        <w:rPr>
          <w:lang w:val="fr-FR"/>
        </w:rPr>
        <w:t>devraient inclure</w:t>
      </w:r>
      <w:r w:rsidRPr="00971C65">
        <w:rPr>
          <w:lang w:val="fr-FR"/>
        </w:rPr>
        <w:t xml:space="preserve">: </w:t>
      </w:r>
    </w:p>
    <w:p w14:paraId="7F8D8422" w14:textId="7CD55A43" w:rsidR="009F2973" w:rsidRPr="00843276" w:rsidRDefault="009F2973" w:rsidP="009F2973">
      <w:pPr>
        <w:pStyle w:val="WMOIndent2"/>
        <w:rPr>
          <w:lang w:val="fr-FR"/>
        </w:rPr>
      </w:pPr>
      <w:r w:rsidRPr="00843276">
        <w:rPr>
          <w:lang w:val="fr-FR"/>
        </w:rPr>
        <w:t>a)</w:t>
      </w:r>
      <w:r w:rsidRPr="00843276">
        <w:rPr>
          <w:lang w:val="fr-FR"/>
        </w:rPr>
        <w:tab/>
        <w:t>A</w:t>
      </w:r>
      <w:r w:rsidR="00C464DB" w:rsidRPr="00843276">
        <w:rPr>
          <w:lang w:val="fr-FR"/>
        </w:rPr>
        <w:t>u</w:t>
      </w:r>
      <w:r w:rsidRPr="00843276">
        <w:rPr>
          <w:lang w:val="fr-FR"/>
        </w:rPr>
        <w:t xml:space="preserve"> </w:t>
      </w:r>
      <w:r w:rsidR="00C464DB" w:rsidRPr="00843276">
        <w:rPr>
          <w:lang w:val="fr-FR"/>
        </w:rPr>
        <w:t>moins un représent</w:t>
      </w:r>
      <w:r w:rsidR="000E4352" w:rsidRPr="00843276">
        <w:rPr>
          <w:lang w:val="fr-FR"/>
        </w:rPr>
        <w:t xml:space="preserve">ant </w:t>
      </w:r>
      <w:r w:rsidR="000E4352" w:rsidRPr="006B67BD">
        <w:rPr>
          <w:lang w:val="fr-FR"/>
        </w:rPr>
        <w:t xml:space="preserve">de </w:t>
      </w:r>
      <w:r w:rsidR="00B63C00" w:rsidRPr="006B67BD">
        <w:rPr>
          <w:lang w:val="fr-FR"/>
        </w:rPr>
        <w:t>chacun des</w:t>
      </w:r>
      <w:r w:rsidR="000E4352" w:rsidRPr="00843276">
        <w:rPr>
          <w:lang w:val="fr-FR"/>
        </w:rPr>
        <w:t xml:space="preserve"> domaines de la météorologie</w:t>
      </w:r>
      <w:r w:rsidRPr="00843276">
        <w:rPr>
          <w:lang w:val="fr-FR"/>
        </w:rPr>
        <w:t xml:space="preserve">, </w:t>
      </w:r>
      <w:r w:rsidR="000E4352" w:rsidRPr="00843276">
        <w:rPr>
          <w:lang w:val="fr-FR"/>
        </w:rPr>
        <w:t>de la climatologie et de l</w:t>
      </w:r>
      <w:r w:rsidR="003B1030" w:rsidRPr="00843276">
        <w:rPr>
          <w:lang w:val="fr-FR"/>
        </w:rPr>
        <w:t>’</w:t>
      </w:r>
      <w:r w:rsidR="000E4352" w:rsidRPr="00843276">
        <w:rPr>
          <w:lang w:val="fr-FR"/>
        </w:rPr>
        <w:t>h</w:t>
      </w:r>
      <w:r w:rsidRPr="00843276">
        <w:rPr>
          <w:lang w:val="fr-FR"/>
        </w:rPr>
        <w:t>ydrolog</w:t>
      </w:r>
      <w:r w:rsidR="000E4352" w:rsidRPr="00843276">
        <w:rPr>
          <w:lang w:val="fr-FR"/>
        </w:rPr>
        <w:t>ie</w:t>
      </w:r>
      <w:r w:rsidRPr="00843276">
        <w:rPr>
          <w:lang w:val="fr-FR"/>
        </w:rPr>
        <w:t>*;</w:t>
      </w:r>
    </w:p>
    <w:p w14:paraId="73130E80" w14:textId="7CB7B3FE" w:rsidR="009F2973" w:rsidRPr="00843276" w:rsidRDefault="009F2973" w:rsidP="009F2973">
      <w:pPr>
        <w:pStyle w:val="WMOIndent2"/>
        <w:rPr>
          <w:lang w:val="fr-FR"/>
        </w:rPr>
      </w:pPr>
      <w:r w:rsidRPr="00843276">
        <w:rPr>
          <w:lang w:val="fr-FR"/>
        </w:rPr>
        <w:t>b)</w:t>
      </w:r>
      <w:r w:rsidRPr="00843276">
        <w:rPr>
          <w:lang w:val="fr-FR"/>
        </w:rPr>
        <w:tab/>
        <w:t>A</w:t>
      </w:r>
      <w:r w:rsidR="000E4352" w:rsidRPr="00843276">
        <w:rPr>
          <w:lang w:val="fr-FR"/>
        </w:rPr>
        <w:t>u moins une femme</w:t>
      </w:r>
      <w:r w:rsidRPr="00843276">
        <w:rPr>
          <w:lang w:val="fr-FR"/>
        </w:rPr>
        <w:t>;</w:t>
      </w:r>
    </w:p>
    <w:p w14:paraId="3D2031F9" w14:textId="2BDB8E60" w:rsidR="009F2973" w:rsidRPr="00971C65" w:rsidRDefault="000E4352" w:rsidP="009F2973">
      <w:pPr>
        <w:pStyle w:val="WMOIndent1"/>
        <w:rPr>
          <w:lang w:val="fr-FR"/>
        </w:rPr>
      </w:pPr>
      <w:r w:rsidRPr="00843276">
        <w:rPr>
          <w:lang w:val="fr-FR"/>
        </w:rPr>
        <w:t>et</w:t>
      </w:r>
      <w:r w:rsidR="009F2973" w:rsidRPr="00843276">
        <w:rPr>
          <w:lang w:val="fr-FR"/>
        </w:rPr>
        <w:t>:</w:t>
      </w:r>
    </w:p>
    <w:p w14:paraId="1729DF79" w14:textId="3C93EA89" w:rsidR="009F2973" w:rsidRPr="00971C65" w:rsidRDefault="009F2973" w:rsidP="009F2973">
      <w:pPr>
        <w:pStyle w:val="WMOIndent1"/>
        <w:ind w:left="1134"/>
        <w:rPr>
          <w:lang w:val="fr-FR"/>
        </w:rPr>
      </w:pPr>
      <w:r w:rsidRPr="00971C65">
        <w:rPr>
          <w:lang w:val="fr-FR"/>
        </w:rPr>
        <w:t>a)</w:t>
      </w:r>
      <w:r w:rsidRPr="00971C65">
        <w:rPr>
          <w:lang w:val="fr-FR"/>
        </w:rPr>
        <w:tab/>
      </w:r>
      <w:r w:rsidR="00206900" w:rsidRPr="00971C65">
        <w:rPr>
          <w:lang w:val="fr-FR"/>
        </w:rPr>
        <w:t>D</w:t>
      </w:r>
      <w:r w:rsidR="00E9696E" w:rsidRPr="00971C65">
        <w:rPr>
          <w:lang w:val="fr-FR"/>
        </w:rPr>
        <w:t>oivent</w:t>
      </w:r>
      <w:r w:rsidR="00206900" w:rsidRPr="00971C65">
        <w:rPr>
          <w:lang w:val="fr-FR"/>
        </w:rPr>
        <w:t xml:space="preserve"> i</w:t>
      </w:r>
      <w:r w:rsidR="00330A1B" w:rsidRPr="00971C65">
        <w:rPr>
          <w:lang w:val="fr-FR"/>
        </w:rPr>
        <w:t>nclure au moins un ressortissant d</w:t>
      </w:r>
      <w:r w:rsidR="003B1030">
        <w:rPr>
          <w:lang w:val="fr-FR"/>
        </w:rPr>
        <w:t>’</w:t>
      </w:r>
      <w:r w:rsidR="00330A1B" w:rsidRPr="00971C65">
        <w:rPr>
          <w:lang w:val="fr-FR"/>
        </w:rPr>
        <w:t xml:space="preserve">un pays en </w:t>
      </w:r>
      <w:r w:rsidRPr="00971C65">
        <w:rPr>
          <w:lang w:val="fr-FR"/>
        </w:rPr>
        <w:t>d</w:t>
      </w:r>
      <w:r w:rsidR="00330A1B" w:rsidRPr="00971C65">
        <w:rPr>
          <w:lang w:val="fr-FR"/>
        </w:rPr>
        <w:t>éveloppement</w:t>
      </w:r>
      <w:r w:rsidRPr="00971C65">
        <w:rPr>
          <w:b/>
          <w:bCs/>
          <w:lang w:val="fr-FR"/>
        </w:rPr>
        <w:t>*</w:t>
      </w:r>
      <w:r w:rsidRPr="00971C65">
        <w:rPr>
          <w:lang w:val="fr-FR"/>
        </w:rPr>
        <w:t>;</w:t>
      </w:r>
    </w:p>
    <w:p w14:paraId="3C6ED968" w14:textId="34BC70BE" w:rsidR="009F2973" w:rsidRPr="00971C65" w:rsidRDefault="009F2973" w:rsidP="009F2973">
      <w:pPr>
        <w:pStyle w:val="WMOIndent1"/>
        <w:ind w:left="1134"/>
        <w:rPr>
          <w:lang w:val="fr-FR"/>
        </w:rPr>
      </w:pPr>
      <w:r w:rsidRPr="00971C65">
        <w:rPr>
          <w:lang w:val="fr-FR"/>
        </w:rPr>
        <w:t>b)</w:t>
      </w:r>
      <w:r w:rsidRPr="00971C65">
        <w:rPr>
          <w:lang w:val="fr-FR"/>
        </w:rPr>
        <w:tab/>
      </w:r>
      <w:r w:rsidR="00206900" w:rsidRPr="00971C65">
        <w:rPr>
          <w:lang w:val="fr-FR"/>
        </w:rPr>
        <w:t>Ne d</w:t>
      </w:r>
      <w:r w:rsidR="00E9696E" w:rsidRPr="00971C65">
        <w:rPr>
          <w:lang w:val="fr-FR"/>
        </w:rPr>
        <w:t xml:space="preserve">oivent </w:t>
      </w:r>
      <w:r w:rsidR="00206900" w:rsidRPr="00971C65">
        <w:rPr>
          <w:lang w:val="fr-FR"/>
        </w:rPr>
        <w:t xml:space="preserve">pas présider </w:t>
      </w:r>
      <w:r w:rsidR="004119F2" w:rsidRPr="00971C65">
        <w:rPr>
          <w:lang w:val="fr-FR"/>
        </w:rPr>
        <w:t>d</w:t>
      </w:r>
      <w:r w:rsidR="003B1030">
        <w:rPr>
          <w:lang w:val="fr-FR"/>
        </w:rPr>
        <w:t>’</w:t>
      </w:r>
      <w:r w:rsidR="00206900" w:rsidRPr="00971C65">
        <w:rPr>
          <w:lang w:val="fr-FR"/>
        </w:rPr>
        <w:t xml:space="preserve">organe </w:t>
      </w:r>
      <w:r w:rsidRPr="00971C65">
        <w:rPr>
          <w:lang w:val="fr-FR"/>
        </w:rPr>
        <w:t>subsidia</w:t>
      </w:r>
      <w:r w:rsidR="00206900" w:rsidRPr="00971C65">
        <w:rPr>
          <w:lang w:val="fr-FR"/>
        </w:rPr>
        <w:t>ire</w:t>
      </w:r>
      <w:r w:rsidRPr="00971C65">
        <w:rPr>
          <w:b/>
          <w:bCs/>
          <w:lang w:val="fr-FR"/>
        </w:rPr>
        <w:t>*</w:t>
      </w:r>
      <w:r w:rsidRPr="00971C65">
        <w:rPr>
          <w:lang w:val="fr-FR"/>
        </w:rPr>
        <w:t xml:space="preserve">, </w:t>
      </w:r>
      <w:r w:rsidR="00C5755D" w:rsidRPr="00971C65">
        <w:rPr>
          <w:lang w:val="fr-FR"/>
        </w:rPr>
        <w:t>à l</w:t>
      </w:r>
      <w:r w:rsidR="003B1030">
        <w:rPr>
          <w:lang w:val="fr-FR"/>
        </w:rPr>
        <w:t>’</w:t>
      </w:r>
      <w:r w:rsidR="00C5755D" w:rsidRPr="00971C65">
        <w:rPr>
          <w:lang w:val="fr-FR"/>
        </w:rPr>
        <w:t>exception des équipes spéciales ou groupes consultatifs établis sous l</w:t>
      </w:r>
      <w:r w:rsidR="003B1030">
        <w:rPr>
          <w:lang w:val="fr-FR"/>
        </w:rPr>
        <w:t>’</w:t>
      </w:r>
      <w:r w:rsidR="00C5755D" w:rsidRPr="00971C65">
        <w:rPr>
          <w:lang w:val="fr-FR"/>
        </w:rPr>
        <w:t>égide du Groupe de gestion</w:t>
      </w:r>
      <w:r w:rsidRPr="00971C65">
        <w:rPr>
          <w:lang w:val="fr-FR"/>
        </w:rPr>
        <w:t>;</w:t>
      </w:r>
    </w:p>
    <w:p w14:paraId="03974A52" w14:textId="3634C6EE" w:rsidR="009F2973" w:rsidRPr="00971C65" w:rsidRDefault="00D57D69" w:rsidP="009F2973">
      <w:pPr>
        <w:pStyle w:val="WMOIndent1"/>
        <w:ind w:left="1134"/>
        <w:rPr>
          <w:lang w:val="fr-FR"/>
        </w:rPr>
      </w:pPr>
      <w:r w:rsidRPr="00971C65">
        <w:rPr>
          <w:lang w:val="fr-FR"/>
        </w:rPr>
        <w:t xml:space="preserve">Les vice-présidents devraient </w:t>
      </w:r>
      <w:r w:rsidR="007B5759" w:rsidRPr="00971C65">
        <w:rPr>
          <w:lang w:val="fr-FR"/>
        </w:rPr>
        <w:t>être issus</w:t>
      </w:r>
      <w:r w:rsidRPr="00971C65">
        <w:rPr>
          <w:lang w:val="fr-FR"/>
        </w:rPr>
        <w:t xml:space="preserve"> de différentes</w:t>
      </w:r>
      <w:r w:rsidR="009F2973" w:rsidRPr="00971C65">
        <w:rPr>
          <w:lang w:val="fr-FR"/>
        </w:rPr>
        <w:t xml:space="preserve"> </w:t>
      </w:r>
      <w:r w:rsidRPr="00971C65">
        <w:rPr>
          <w:lang w:val="fr-FR"/>
        </w:rPr>
        <w:t>Ré</w:t>
      </w:r>
      <w:r w:rsidR="009F2973" w:rsidRPr="00971C65">
        <w:rPr>
          <w:lang w:val="fr-FR"/>
        </w:rPr>
        <w:t>gions</w:t>
      </w:r>
      <w:r w:rsidR="009F2973" w:rsidRPr="00971C65">
        <w:rPr>
          <w:b/>
          <w:bCs/>
          <w:lang w:val="fr-FR"/>
        </w:rPr>
        <w:t>*</w:t>
      </w:r>
      <w:r w:rsidR="009F2973" w:rsidRPr="00971C65">
        <w:rPr>
          <w:lang w:val="fr-FR"/>
        </w:rPr>
        <w:t>;</w:t>
      </w:r>
    </w:p>
    <w:p w14:paraId="5E0ACF9A" w14:textId="3CD379EF" w:rsidR="009F2973" w:rsidRPr="00971C65" w:rsidRDefault="009F2973" w:rsidP="009F2973">
      <w:pPr>
        <w:pStyle w:val="WMOIndent1"/>
        <w:rPr>
          <w:lang w:val="fr-FR"/>
        </w:rPr>
      </w:pPr>
      <w:r w:rsidRPr="00971C65">
        <w:rPr>
          <w:lang w:val="fr-FR"/>
        </w:rPr>
        <w:t>2)</w:t>
      </w:r>
      <w:r w:rsidRPr="00971C65">
        <w:rPr>
          <w:lang w:val="fr-FR"/>
        </w:rPr>
        <w:tab/>
      </w:r>
      <w:r w:rsidR="00FC7F34" w:rsidRPr="00971C65">
        <w:rPr>
          <w:lang w:val="fr-FR"/>
        </w:rPr>
        <w:t>L</w:t>
      </w:r>
      <w:r w:rsidR="000B28C7">
        <w:rPr>
          <w:lang w:val="fr-FR"/>
        </w:rPr>
        <w:t xml:space="preserve">es </w:t>
      </w:r>
      <w:r w:rsidR="00FC7F34" w:rsidRPr="00971C65">
        <w:rPr>
          <w:lang w:val="fr-FR"/>
        </w:rPr>
        <w:t>équipe</w:t>
      </w:r>
      <w:r w:rsidR="000B28C7">
        <w:rPr>
          <w:lang w:val="fr-FR"/>
        </w:rPr>
        <w:t>s</w:t>
      </w:r>
      <w:r w:rsidR="00FC7F34" w:rsidRPr="00971C65">
        <w:rPr>
          <w:lang w:val="fr-FR"/>
        </w:rPr>
        <w:t xml:space="preserve"> de direction des </w:t>
      </w:r>
      <w:r w:rsidR="00B47674" w:rsidRPr="00971C65">
        <w:rPr>
          <w:lang w:val="fr-FR"/>
        </w:rPr>
        <w:t xml:space="preserve">organes </w:t>
      </w:r>
      <w:r w:rsidRPr="00971C65">
        <w:rPr>
          <w:lang w:val="fr-FR"/>
        </w:rPr>
        <w:t>subsidia</w:t>
      </w:r>
      <w:r w:rsidR="00B47674" w:rsidRPr="00971C65">
        <w:rPr>
          <w:lang w:val="fr-FR"/>
        </w:rPr>
        <w:t>ires de la</w:t>
      </w:r>
      <w:r w:rsidRPr="00971C65">
        <w:rPr>
          <w:lang w:val="fr-FR"/>
        </w:rPr>
        <w:t xml:space="preserve"> </w:t>
      </w:r>
      <w:proofErr w:type="spellStart"/>
      <w:r w:rsidRPr="00971C65">
        <w:rPr>
          <w:lang w:val="fr-FR"/>
        </w:rPr>
        <w:t>SERCOM</w:t>
      </w:r>
      <w:proofErr w:type="spellEnd"/>
      <w:r w:rsidR="007D1A93">
        <w:rPr>
          <w:lang w:val="fr-FR"/>
        </w:rPr>
        <w:t xml:space="preserve"> </w:t>
      </w:r>
      <w:r w:rsidR="008172ED" w:rsidRPr="007D1A93">
        <w:rPr>
          <w:b/>
          <w:bCs/>
          <w:i/>
          <w:iCs/>
          <w:lang w:val="fr-FR"/>
        </w:rPr>
        <w:t>doivent</w:t>
      </w:r>
      <w:r w:rsidR="008172ED" w:rsidRPr="007D1A93">
        <w:rPr>
          <w:i/>
          <w:iCs/>
          <w:lang w:val="fr-FR"/>
        </w:rPr>
        <w:t xml:space="preserve"> </w:t>
      </w:r>
      <w:r w:rsidR="008172ED">
        <w:rPr>
          <w:lang w:val="fr-FR"/>
        </w:rPr>
        <w:t>inclure</w:t>
      </w:r>
      <w:r w:rsidRPr="00971C65">
        <w:rPr>
          <w:lang w:val="fr-FR"/>
        </w:rPr>
        <w:t>:</w:t>
      </w:r>
    </w:p>
    <w:p w14:paraId="5FCB4067" w14:textId="649B8EE9" w:rsidR="009F2973" w:rsidRPr="006B67BD" w:rsidRDefault="009F2973" w:rsidP="009F2973">
      <w:pPr>
        <w:pStyle w:val="WMOIndent1"/>
        <w:ind w:left="1134"/>
        <w:rPr>
          <w:spacing w:val="2"/>
          <w:lang w:val="fr-FR"/>
        </w:rPr>
      </w:pPr>
      <w:r w:rsidRPr="006B67BD">
        <w:rPr>
          <w:spacing w:val="2"/>
          <w:lang w:val="fr-FR"/>
        </w:rPr>
        <w:t>a)</w:t>
      </w:r>
      <w:r w:rsidRPr="006B67BD">
        <w:rPr>
          <w:spacing w:val="2"/>
          <w:lang w:val="fr-FR"/>
        </w:rPr>
        <w:tab/>
      </w:r>
      <w:r w:rsidR="00FC7F34" w:rsidRPr="006B67BD">
        <w:rPr>
          <w:spacing w:val="2"/>
          <w:lang w:val="fr-FR"/>
        </w:rPr>
        <w:t>Dans le cas des comités permanents et des groupes d</w:t>
      </w:r>
      <w:r w:rsidR="003B1030" w:rsidRPr="006B67BD">
        <w:rPr>
          <w:spacing w:val="2"/>
          <w:lang w:val="fr-FR"/>
        </w:rPr>
        <w:t>’</w:t>
      </w:r>
      <w:r w:rsidR="00FC7F34" w:rsidRPr="006B67BD">
        <w:rPr>
          <w:spacing w:val="2"/>
          <w:lang w:val="fr-FR"/>
        </w:rPr>
        <w:t>étude:</w:t>
      </w:r>
      <w:r w:rsidRPr="006B67BD">
        <w:rPr>
          <w:spacing w:val="2"/>
          <w:lang w:val="fr-FR"/>
        </w:rPr>
        <w:t xml:space="preserve"> </w:t>
      </w:r>
      <w:r w:rsidR="004021E8" w:rsidRPr="006B67BD">
        <w:rPr>
          <w:spacing w:val="2"/>
          <w:lang w:val="fr-FR"/>
        </w:rPr>
        <w:t>un président et deux</w:t>
      </w:r>
      <w:r w:rsidR="00F46EDF">
        <w:rPr>
          <w:spacing w:val="2"/>
          <w:lang w:val="fr-FR"/>
        </w:rPr>
        <w:t> </w:t>
      </w:r>
      <w:r w:rsidR="004021E8" w:rsidRPr="006B67BD">
        <w:rPr>
          <w:spacing w:val="2"/>
          <w:lang w:val="fr-FR"/>
        </w:rPr>
        <w:t>vice-présidents</w:t>
      </w:r>
      <w:r w:rsidRPr="006B67BD">
        <w:rPr>
          <w:spacing w:val="2"/>
          <w:lang w:val="fr-FR"/>
        </w:rPr>
        <w:t xml:space="preserve"> (</w:t>
      </w:r>
      <w:r w:rsidR="004021E8" w:rsidRPr="006B67BD">
        <w:rPr>
          <w:spacing w:val="2"/>
          <w:lang w:val="fr-FR"/>
        </w:rPr>
        <w:t>dont au moins un expert d</w:t>
      </w:r>
      <w:r w:rsidR="003B1030" w:rsidRPr="006B67BD">
        <w:rPr>
          <w:spacing w:val="2"/>
          <w:lang w:val="fr-FR"/>
        </w:rPr>
        <w:t>’</w:t>
      </w:r>
      <w:r w:rsidR="004021E8" w:rsidRPr="006B67BD">
        <w:rPr>
          <w:spacing w:val="2"/>
          <w:lang w:val="fr-FR"/>
        </w:rPr>
        <w:t>un pays en développement</w:t>
      </w:r>
      <w:r w:rsidRPr="006B67BD">
        <w:rPr>
          <w:b/>
          <w:bCs/>
          <w:spacing w:val="2"/>
          <w:lang w:val="fr-FR"/>
        </w:rPr>
        <w:t>*</w:t>
      </w:r>
      <w:r w:rsidRPr="006B67BD">
        <w:rPr>
          <w:spacing w:val="2"/>
          <w:lang w:val="fr-FR"/>
        </w:rPr>
        <w:t xml:space="preserve"> </w:t>
      </w:r>
      <w:r w:rsidR="004021E8" w:rsidRPr="006B67BD">
        <w:rPr>
          <w:spacing w:val="2"/>
          <w:lang w:val="fr-FR"/>
        </w:rPr>
        <w:t>et</w:t>
      </w:r>
      <w:r w:rsidR="00F46EDF">
        <w:rPr>
          <w:spacing w:val="2"/>
          <w:lang w:val="fr-FR"/>
        </w:rPr>
        <w:t> </w:t>
      </w:r>
      <w:r w:rsidR="004021E8" w:rsidRPr="006B67BD">
        <w:rPr>
          <w:spacing w:val="2"/>
          <w:lang w:val="fr-FR"/>
        </w:rPr>
        <w:t>une femme</w:t>
      </w:r>
      <w:r w:rsidRPr="006B67BD">
        <w:rPr>
          <w:spacing w:val="2"/>
          <w:lang w:val="fr-FR"/>
        </w:rPr>
        <w:t>);</w:t>
      </w:r>
    </w:p>
    <w:p w14:paraId="13729A1E" w14:textId="36C8AB22" w:rsidR="009F2973" w:rsidRPr="00971C65" w:rsidRDefault="009F2973" w:rsidP="009F2973">
      <w:pPr>
        <w:pStyle w:val="WMOIndent1"/>
        <w:ind w:left="1134"/>
        <w:rPr>
          <w:lang w:val="fr-FR"/>
        </w:rPr>
      </w:pPr>
      <w:r w:rsidRPr="00971C65">
        <w:rPr>
          <w:lang w:val="fr-FR"/>
        </w:rPr>
        <w:t>b)</w:t>
      </w:r>
      <w:r w:rsidRPr="00971C65">
        <w:rPr>
          <w:lang w:val="fr-FR"/>
        </w:rPr>
        <w:tab/>
      </w:r>
      <w:r w:rsidR="00AC6250" w:rsidRPr="00971C65">
        <w:rPr>
          <w:lang w:val="fr-FR"/>
        </w:rPr>
        <w:t>C</w:t>
      </w:r>
      <w:r w:rsidR="00145EE0" w:rsidRPr="00971C65">
        <w:rPr>
          <w:lang w:val="fr-FR"/>
        </w:rPr>
        <w:t>onformément au paragraphe 5.3 de la version amendée du Règlement intérieur des commissions techniques approuvée par le Conseil exécutif à sa soixante</w:t>
      </w:r>
      <w:r w:rsidR="00337A28">
        <w:rPr>
          <w:lang w:val="fr-FR"/>
        </w:rPr>
        <w:noBreakHyphen/>
      </w:r>
      <w:r w:rsidR="00145EE0" w:rsidRPr="00971C65">
        <w:rPr>
          <w:lang w:val="fr-FR"/>
        </w:rPr>
        <w:t>dix</w:t>
      </w:r>
      <w:r w:rsidR="00337A28">
        <w:rPr>
          <w:lang w:val="fr-FR"/>
        </w:rPr>
        <w:noBreakHyphen/>
      </w:r>
      <w:r w:rsidR="00145EE0" w:rsidRPr="00971C65">
        <w:rPr>
          <w:lang w:val="fr-FR"/>
        </w:rPr>
        <w:t>septième se</w:t>
      </w:r>
      <w:r w:rsidR="008B5BD0" w:rsidRPr="00971C65">
        <w:rPr>
          <w:lang w:val="fr-FR"/>
        </w:rPr>
        <w:t>s</w:t>
      </w:r>
      <w:r w:rsidR="00145EE0" w:rsidRPr="00971C65">
        <w:rPr>
          <w:lang w:val="fr-FR"/>
        </w:rPr>
        <w:t>sion</w:t>
      </w:r>
      <w:r w:rsidR="008B5BD0" w:rsidRPr="00971C65">
        <w:rPr>
          <w:lang w:val="fr-FR"/>
        </w:rPr>
        <w:t xml:space="preserve">, </w:t>
      </w:r>
      <w:r w:rsidR="00130A6D" w:rsidRPr="0033648C">
        <w:rPr>
          <w:i/>
          <w:iCs/>
          <w:lang w:val="fr-FR"/>
        </w:rPr>
        <w:t>p</w:t>
      </w:r>
      <w:r w:rsidR="00C63C4E" w:rsidRPr="0033648C">
        <w:rPr>
          <w:i/>
          <w:iCs/>
          <w:lang w:val="fr-FR"/>
        </w:rPr>
        <w:t>our ce qui concerne la sélection des experts, des présidents et des vice-présidents de chaque organe subsidiaire, il conviendrait de représenter de manière égale les domaines techniques, les genres et les degrés d</w:t>
      </w:r>
      <w:r w:rsidR="003B1030" w:rsidRPr="0033648C">
        <w:rPr>
          <w:i/>
          <w:iCs/>
          <w:lang w:val="fr-FR"/>
        </w:rPr>
        <w:t>’</w:t>
      </w:r>
      <w:r w:rsidR="00C63C4E" w:rsidRPr="0033648C">
        <w:rPr>
          <w:i/>
          <w:iCs/>
          <w:lang w:val="fr-FR"/>
        </w:rPr>
        <w:t>expérience</w:t>
      </w:r>
      <w:r w:rsidR="00C63C4E" w:rsidRPr="00971C65">
        <w:rPr>
          <w:lang w:val="fr-FR"/>
        </w:rPr>
        <w:t>.</w:t>
      </w:r>
    </w:p>
    <w:p w14:paraId="2E8F3D8D" w14:textId="5CF2E240" w:rsidR="009F2973" w:rsidRPr="00971C65" w:rsidRDefault="009F2973" w:rsidP="009F2973">
      <w:pPr>
        <w:pStyle w:val="WMOIndent1"/>
        <w:rPr>
          <w:lang w:val="fr-FR"/>
        </w:rPr>
      </w:pPr>
      <w:r w:rsidRPr="00971C65">
        <w:rPr>
          <w:lang w:val="fr-FR"/>
        </w:rPr>
        <w:t>3)</w:t>
      </w:r>
      <w:r w:rsidRPr="00971C65">
        <w:rPr>
          <w:lang w:val="fr-FR"/>
        </w:rPr>
        <w:tab/>
      </w:r>
      <w:r w:rsidR="001849F9" w:rsidRPr="00971C65">
        <w:rPr>
          <w:lang w:val="fr-FR"/>
        </w:rPr>
        <w:t>Principes génériques à respecter lors de la sélection de</w:t>
      </w:r>
      <w:r w:rsidR="00C2775B">
        <w:rPr>
          <w:lang w:val="fr-FR"/>
        </w:rPr>
        <w:t xml:space="preserve"> tou</w:t>
      </w:r>
      <w:r w:rsidR="001849F9" w:rsidRPr="00971C65">
        <w:rPr>
          <w:lang w:val="fr-FR"/>
        </w:rPr>
        <w:t xml:space="preserve">s </w:t>
      </w:r>
      <w:r w:rsidR="00C2775B">
        <w:rPr>
          <w:lang w:val="fr-FR"/>
        </w:rPr>
        <w:t xml:space="preserve">les </w:t>
      </w:r>
      <w:r w:rsidR="001849F9" w:rsidRPr="00971C65">
        <w:rPr>
          <w:lang w:val="fr-FR"/>
        </w:rPr>
        <w:t>experts des organes subsidiaires de la SERCOM afin de parvenir à une composition équilibrée:</w:t>
      </w:r>
    </w:p>
    <w:p w14:paraId="48391D18" w14:textId="660BF369" w:rsidR="009F2973" w:rsidRPr="00971C65" w:rsidRDefault="009F2973" w:rsidP="009F2973">
      <w:pPr>
        <w:pStyle w:val="WMOIndent1"/>
        <w:ind w:left="1134"/>
        <w:rPr>
          <w:lang w:val="fr-FR"/>
        </w:rPr>
      </w:pPr>
      <w:r w:rsidRPr="00971C65">
        <w:rPr>
          <w:lang w:val="fr-FR"/>
        </w:rPr>
        <w:t>a)</w:t>
      </w:r>
      <w:r w:rsidRPr="00971C65">
        <w:rPr>
          <w:lang w:val="fr-FR"/>
        </w:rPr>
        <w:tab/>
      </w:r>
      <w:r w:rsidR="00BC37E9" w:rsidRPr="00971C65">
        <w:rPr>
          <w:lang w:val="fr-FR"/>
        </w:rPr>
        <w:t>Répartition régionale</w:t>
      </w:r>
      <w:r w:rsidR="00441A6E">
        <w:rPr>
          <w:lang w:val="fr-FR"/>
        </w:rPr>
        <w:t>,</w:t>
      </w:r>
      <w:r w:rsidRPr="00971C65">
        <w:rPr>
          <w:lang w:val="fr-FR"/>
        </w:rPr>
        <w:t xml:space="preserve"> </w:t>
      </w:r>
      <w:r w:rsidR="00BC37E9" w:rsidRPr="00971C65">
        <w:rPr>
          <w:lang w:val="fr-FR"/>
        </w:rPr>
        <w:t xml:space="preserve">répartition </w:t>
      </w:r>
      <w:r w:rsidRPr="00971C65">
        <w:rPr>
          <w:lang w:val="fr-FR"/>
        </w:rPr>
        <w:t>national</w:t>
      </w:r>
      <w:r w:rsidR="00BC37E9" w:rsidRPr="00971C65">
        <w:rPr>
          <w:lang w:val="fr-FR"/>
        </w:rPr>
        <w:t>e</w:t>
      </w:r>
      <w:r w:rsidR="00441A6E">
        <w:rPr>
          <w:lang w:val="fr-FR"/>
        </w:rPr>
        <w:t>,</w:t>
      </w:r>
      <w:r w:rsidRPr="00971C65">
        <w:rPr>
          <w:lang w:val="fr-FR"/>
        </w:rPr>
        <w:t xml:space="preserve"> </w:t>
      </w:r>
      <w:r w:rsidR="003E287A" w:rsidRPr="00971C65">
        <w:rPr>
          <w:lang w:val="fr-FR"/>
        </w:rPr>
        <w:t>représentation des pays en développement</w:t>
      </w:r>
      <w:r w:rsidRPr="00971C65">
        <w:rPr>
          <w:lang w:val="fr-FR"/>
        </w:rPr>
        <w:t>;</w:t>
      </w:r>
    </w:p>
    <w:p w14:paraId="521DF783" w14:textId="4D47F5CC" w:rsidR="009F2973" w:rsidRPr="00971C65" w:rsidRDefault="009F2973" w:rsidP="009F2973">
      <w:pPr>
        <w:pStyle w:val="WMOIndent1"/>
        <w:ind w:left="1134"/>
        <w:rPr>
          <w:lang w:val="fr-FR"/>
        </w:rPr>
      </w:pPr>
      <w:r w:rsidRPr="00971C65">
        <w:rPr>
          <w:lang w:val="fr-FR"/>
        </w:rPr>
        <w:t>b)</w:t>
      </w:r>
      <w:r w:rsidRPr="00971C65">
        <w:rPr>
          <w:lang w:val="fr-FR"/>
        </w:rPr>
        <w:tab/>
      </w:r>
      <w:r w:rsidR="006B5E24" w:rsidRPr="00971C65">
        <w:rPr>
          <w:lang w:val="fr-FR"/>
        </w:rPr>
        <w:t xml:space="preserve">Équilibre hommes-femmes, la </w:t>
      </w:r>
      <w:r w:rsidRPr="00971C65">
        <w:rPr>
          <w:lang w:val="fr-FR"/>
        </w:rPr>
        <w:t xml:space="preserve">SERCOM </w:t>
      </w:r>
      <w:r w:rsidR="006B5E24" w:rsidRPr="00971C65">
        <w:rPr>
          <w:lang w:val="fr-FR"/>
        </w:rPr>
        <w:t>ayant pour objectif 2024-2027 de comprendre</w:t>
      </w:r>
      <w:r w:rsidRPr="00971C65">
        <w:rPr>
          <w:lang w:val="fr-FR"/>
        </w:rPr>
        <w:t xml:space="preserve"> </w:t>
      </w:r>
      <w:r w:rsidR="006B5E24" w:rsidRPr="00971C65">
        <w:rPr>
          <w:lang w:val="fr-FR"/>
        </w:rPr>
        <w:t xml:space="preserve">au moins </w:t>
      </w:r>
      <w:r w:rsidRPr="00971C65">
        <w:rPr>
          <w:lang w:val="fr-FR"/>
        </w:rPr>
        <w:t>40</w:t>
      </w:r>
      <w:r w:rsidR="006B5E24" w:rsidRPr="00971C65">
        <w:rPr>
          <w:lang w:val="fr-FR"/>
        </w:rPr>
        <w:t> </w:t>
      </w:r>
      <w:r w:rsidRPr="00971C65">
        <w:rPr>
          <w:lang w:val="fr-FR"/>
        </w:rPr>
        <w:t xml:space="preserve">% </w:t>
      </w:r>
      <w:r w:rsidR="006B5E24" w:rsidRPr="00971C65">
        <w:rPr>
          <w:lang w:val="fr-FR"/>
        </w:rPr>
        <w:t>de femmes</w:t>
      </w:r>
      <w:r w:rsidRPr="00971C65">
        <w:rPr>
          <w:lang w:val="fr-FR"/>
        </w:rPr>
        <w:t>;</w:t>
      </w:r>
    </w:p>
    <w:p w14:paraId="62AD359A" w14:textId="235E3A13" w:rsidR="009F2973" w:rsidRPr="00971C65" w:rsidRDefault="009F2973" w:rsidP="009F2973">
      <w:pPr>
        <w:pStyle w:val="WMOIndent1"/>
        <w:ind w:left="1134"/>
        <w:rPr>
          <w:lang w:val="fr-FR"/>
        </w:rPr>
      </w:pPr>
      <w:r w:rsidRPr="00971C65">
        <w:rPr>
          <w:lang w:val="fr-FR"/>
        </w:rPr>
        <w:t>c)</w:t>
      </w:r>
      <w:r w:rsidRPr="00971C65">
        <w:rPr>
          <w:lang w:val="fr-FR"/>
        </w:rPr>
        <w:tab/>
      </w:r>
      <w:r w:rsidR="0033420B" w:rsidRPr="00971C65">
        <w:rPr>
          <w:lang w:val="fr-FR"/>
        </w:rPr>
        <w:t>Degrés d</w:t>
      </w:r>
      <w:r w:rsidR="003B1030">
        <w:rPr>
          <w:lang w:val="fr-FR"/>
        </w:rPr>
        <w:t>’</w:t>
      </w:r>
      <w:r w:rsidR="0033420B" w:rsidRPr="00971C65">
        <w:rPr>
          <w:lang w:val="fr-FR"/>
        </w:rPr>
        <w:t>expérience</w:t>
      </w:r>
      <w:r w:rsidRPr="00971C65">
        <w:rPr>
          <w:lang w:val="fr-FR"/>
        </w:rPr>
        <w:t xml:space="preserve"> (</w:t>
      </w:r>
      <w:r w:rsidR="00001AAC" w:rsidRPr="00971C65">
        <w:rPr>
          <w:lang w:val="fr-FR"/>
        </w:rPr>
        <w:t>de façon à tenir compte de la planification de la relève</w:t>
      </w:r>
      <w:r w:rsidRPr="00971C65">
        <w:rPr>
          <w:lang w:val="fr-FR"/>
        </w:rPr>
        <w:t>).</w:t>
      </w:r>
    </w:p>
    <w:p w14:paraId="29EE4D0F" w14:textId="3439F783" w:rsidR="009F2973" w:rsidRPr="00971C65" w:rsidRDefault="00BE12AB" w:rsidP="00CA33D7">
      <w:pPr>
        <w:pStyle w:val="WMOBodyText"/>
        <w:ind w:right="-170"/>
        <w:rPr>
          <w:lang w:val="fr-FR"/>
        </w:rPr>
      </w:pPr>
      <w:r w:rsidRPr="00971C65">
        <w:rPr>
          <w:lang w:val="fr-FR"/>
        </w:rPr>
        <w:t xml:space="preserve">Le texte ci-dessus </w:t>
      </w:r>
      <w:r w:rsidR="00796CE3" w:rsidRPr="00971C65">
        <w:rPr>
          <w:lang w:val="fr-FR"/>
        </w:rPr>
        <w:t xml:space="preserve">est conforme </w:t>
      </w:r>
      <w:r w:rsidR="00DD1081">
        <w:rPr>
          <w:lang w:val="fr-FR"/>
        </w:rPr>
        <w:t>a</w:t>
      </w:r>
      <w:r w:rsidR="00796CE3" w:rsidRPr="00971C65">
        <w:rPr>
          <w:lang w:val="fr-FR"/>
        </w:rPr>
        <w:t>u paragraph</w:t>
      </w:r>
      <w:r w:rsidR="002B11A8" w:rsidRPr="00971C65">
        <w:rPr>
          <w:lang w:val="fr-FR"/>
        </w:rPr>
        <w:t>e</w:t>
      </w:r>
      <w:r w:rsidR="0033648C">
        <w:rPr>
          <w:lang w:val="fr-FR"/>
        </w:rPr>
        <w:t> </w:t>
      </w:r>
      <w:r w:rsidR="00796CE3" w:rsidRPr="00971C65">
        <w:rPr>
          <w:lang w:val="fr-FR"/>
        </w:rPr>
        <w:t>5.3</w:t>
      </w:r>
      <w:r w:rsidR="002B11A8" w:rsidRPr="00971C65">
        <w:rPr>
          <w:lang w:val="fr-FR"/>
        </w:rPr>
        <w:t xml:space="preserve"> </w:t>
      </w:r>
      <w:r w:rsidR="00DD1081">
        <w:rPr>
          <w:lang w:val="fr-FR"/>
        </w:rPr>
        <w:t xml:space="preserve">de la version amendée </w:t>
      </w:r>
      <w:r w:rsidR="002B11A8" w:rsidRPr="00971C65">
        <w:rPr>
          <w:lang w:val="fr-FR"/>
        </w:rPr>
        <w:t xml:space="preserve">du </w:t>
      </w:r>
      <w:r w:rsidR="00796CE3" w:rsidRPr="00971C65">
        <w:rPr>
          <w:lang w:val="fr-FR"/>
        </w:rPr>
        <w:t>Règlement intérieur des commissions techniques</w:t>
      </w:r>
      <w:r w:rsidR="009F2973" w:rsidRPr="00971C65">
        <w:rPr>
          <w:lang w:val="fr-FR"/>
        </w:rPr>
        <w:t xml:space="preserve">, </w:t>
      </w:r>
      <w:r w:rsidR="00F70747" w:rsidRPr="00971C65">
        <w:rPr>
          <w:lang w:val="fr-FR"/>
        </w:rPr>
        <w:t xml:space="preserve">à savoir: </w:t>
      </w:r>
      <w:r w:rsidR="001C6B49" w:rsidRPr="0033648C">
        <w:rPr>
          <w:i/>
          <w:iCs/>
          <w:lang w:val="fr-FR"/>
        </w:rPr>
        <w:t>«</w:t>
      </w:r>
      <w:r w:rsidR="001D7365" w:rsidRPr="0033648C">
        <w:rPr>
          <w:i/>
          <w:iCs/>
          <w:lang w:val="fr-FR"/>
        </w:rPr>
        <w:t>Pour ce qui concerne la sélection des experts, des</w:t>
      </w:r>
      <w:r w:rsidR="004F685F" w:rsidRPr="0033648C">
        <w:rPr>
          <w:i/>
          <w:iCs/>
          <w:lang w:val="fr-FR"/>
        </w:rPr>
        <w:t xml:space="preserve"> </w:t>
      </w:r>
      <w:r w:rsidR="00CA33D7" w:rsidRPr="0033648C">
        <w:rPr>
          <w:i/>
          <w:iCs/>
          <w:lang w:val="fr-FR"/>
        </w:rPr>
        <w:t>présidents et des vice-présidents de chaque organe subsidiaire, il conviendrait de représenter</w:t>
      </w:r>
      <w:r w:rsidR="001D7365" w:rsidRPr="0033648C">
        <w:rPr>
          <w:i/>
          <w:iCs/>
          <w:lang w:val="fr-FR"/>
        </w:rPr>
        <w:t xml:space="preserve"> </w:t>
      </w:r>
      <w:r w:rsidR="00CA33D7" w:rsidRPr="0033648C">
        <w:rPr>
          <w:i/>
          <w:iCs/>
          <w:lang w:val="fr-FR"/>
        </w:rPr>
        <w:t xml:space="preserve">de manière égale non seulement toutes les Régions (en tenant compte notamment </w:t>
      </w:r>
      <w:r w:rsidR="00CA33D7" w:rsidRPr="0033648C">
        <w:rPr>
          <w:i/>
          <w:iCs/>
          <w:lang w:val="fr-FR"/>
        </w:rPr>
        <w:lastRenderedPageBreak/>
        <w:t>de la</w:t>
      </w:r>
      <w:r w:rsidR="001D7365" w:rsidRPr="0033648C">
        <w:rPr>
          <w:i/>
          <w:iCs/>
          <w:lang w:val="fr-FR"/>
        </w:rPr>
        <w:t xml:space="preserve"> </w:t>
      </w:r>
      <w:r w:rsidR="00CA33D7" w:rsidRPr="0033648C">
        <w:rPr>
          <w:i/>
          <w:iCs/>
          <w:lang w:val="fr-FR"/>
        </w:rPr>
        <w:t>représentation des pays développés et des pays en développement), mais aussi les domaines</w:t>
      </w:r>
      <w:r w:rsidR="001D7365" w:rsidRPr="0033648C">
        <w:rPr>
          <w:i/>
          <w:iCs/>
          <w:lang w:val="fr-FR"/>
        </w:rPr>
        <w:t xml:space="preserve"> </w:t>
      </w:r>
      <w:r w:rsidR="00CA33D7" w:rsidRPr="0033648C">
        <w:rPr>
          <w:i/>
          <w:iCs/>
          <w:lang w:val="fr-FR"/>
        </w:rPr>
        <w:t>techniques, les genres et les degrés d</w:t>
      </w:r>
      <w:r w:rsidR="003B1030" w:rsidRPr="0033648C">
        <w:rPr>
          <w:i/>
          <w:iCs/>
          <w:lang w:val="fr-FR"/>
        </w:rPr>
        <w:t>’</w:t>
      </w:r>
      <w:r w:rsidR="00CA33D7" w:rsidRPr="0033648C">
        <w:rPr>
          <w:i/>
          <w:iCs/>
          <w:lang w:val="fr-FR"/>
        </w:rPr>
        <w:t>expérience</w:t>
      </w:r>
      <w:r w:rsidR="001C6B49" w:rsidRPr="0033648C">
        <w:rPr>
          <w:i/>
          <w:iCs/>
          <w:lang w:val="fr-FR"/>
        </w:rPr>
        <w:t>»</w:t>
      </w:r>
      <w:r w:rsidR="00CA33D7" w:rsidRPr="00971C65">
        <w:rPr>
          <w:lang w:val="fr-FR"/>
        </w:rPr>
        <w:t>.</w:t>
      </w:r>
    </w:p>
    <w:p w14:paraId="360EF272" w14:textId="0FA1FB8F" w:rsidR="009F2973" w:rsidRPr="00971C65" w:rsidRDefault="00001AAC" w:rsidP="009F2973">
      <w:pPr>
        <w:pStyle w:val="WMOBodyText"/>
        <w:rPr>
          <w:rStyle w:val="Hyperlink"/>
          <w:color w:val="auto"/>
          <w:lang w:val="fr-FR"/>
        </w:rPr>
      </w:pPr>
      <w:r w:rsidRPr="00971C65">
        <w:rPr>
          <w:rStyle w:val="normaltextrun"/>
          <w:lang w:val="fr-FR"/>
        </w:rPr>
        <w:t>Le Groupe de gestion de la SERCOM recommande, à titre d</w:t>
      </w:r>
      <w:r w:rsidR="003B1030">
        <w:rPr>
          <w:rStyle w:val="normaltextrun"/>
          <w:lang w:val="fr-FR"/>
        </w:rPr>
        <w:t>’</w:t>
      </w:r>
      <w:r w:rsidRPr="00971C65">
        <w:rPr>
          <w:rStyle w:val="normaltextrun"/>
          <w:lang w:val="fr-FR"/>
        </w:rPr>
        <w:t>hypothèse de travail, de se fonder sur la classification des pays par niveau de revenu établie par la Banque mondiale et de considérer tous les pays qui n</w:t>
      </w:r>
      <w:r w:rsidR="003B1030">
        <w:rPr>
          <w:rStyle w:val="normaltextrun"/>
          <w:lang w:val="fr-FR"/>
        </w:rPr>
        <w:t>’</w:t>
      </w:r>
      <w:r w:rsidRPr="00971C65">
        <w:rPr>
          <w:rStyle w:val="normaltextrun"/>
          <w:lang w:val="fr-FR"/>
        </w:rPr>
        <w:t>entrent pas dans la catégorie des «pays à revenu élevé» comme pays en développement.</w:t>
      </w:r>
    </w:p>
    <w:p w14:paraId="7677C984" w14:textId="77777777" w:rsidR="009F2973" w:rsidRPr="00971C65" w:rsidRDefault="009F2973" w:rsidP="009F2973">
      <w:pPr>
        <w:pStyle w:val="WMOBodyText"/>
        <w:jc w:val="center"/>
        <w:rPr>
          <w:lang w:val="fr-FR"/>
        </w:rPr>
      </w:pPr>
      <w:r w:rsidRPr="00971C65">
        <w:rPr>
          <w:lang w:val="fr-FR"/>
        </w:rPr>
        <w:t>__________</w:t>
      </w:r>
    </w:p>
    <w:sectPr w:rsidR="009F2973" w:rsidRPr="00971C65" w:rsidSect="0020095E">
      <w:headerReference w:type="defaul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4333" w14:textId="77777777" w:rsidR="000F0F2F" w:rsidRDefault="000F0F2F">
      <w:r>
        <w:separator/>
      </w:r>
    </w:p>
    <w:p w14:paraId="274FEAA6" w14:textId="77777777" w:rsidR="000F0F2F" w:rsidRDefault="000F0F2F"/>
    <w:p w14:paraId="3FE9A418" w14:textId="77777777" w:rsidR="000F0F2F" w:rsidRDefault="000F0F2F"/>
  </w:endnote>
  <w:endnote w:type="continuationSeparator" w:id="0">
    <w:p w14:paraId="6690D005" w14:textId="77777777" w:rsidR="000F0F2F" w:rsidRDefault="000F0F2F">
      <w:r>
        <w:continuationSeparator/>
      </w:r>
    </w:p>
    <w:p w14:paraId="5C893F3C" w14:textId="77777777" w:rsidR="000F0F2F" w:rsidRDefault="000F0F2F"/>
    <w:p w14:paraId="184BC9ED" w14:textId="77777777" w:rsidR="000F0F2F" w:rsidRDefault="000F0F2F"/>
  </w:endnote>
  <w:endnote w:type="continuationNotice" w:id="1">
    <w:p w14:paraId="20CDCF8D" w14:textId="77777777" w:rsidR="000F0F2F" w:rsidRDefault="000F0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1C7F" w14:textId="77777777" w:rsidR="000F0F2F" w:rsidRDefault="000F0F2F">
      <w:r>
        <w:separator/>
      </w:r>
    </w:p>
  </w:footnote>
  <w:footnote w:type="continuationSeparator" w:id="0">
    <w:p w14:paraId="0F5B909C" w14:textId="77777777" w:rsidR="000F0F2F" w:rsidRDefault="000F0F2F">
      <w:r>
        <w:continuationSeparator/>
      </w:r>
    </w:p>
    <w:p w14:paraId="46C772D5" w14:textId="77777777" w:rsidR="000F0F2F" w:rsidRDefault="000F0F2F"/>
    <w:p w14:paraId="6C8D3E20" w14:textId="77777777" w:rsidR="000F0F2F" w:rsidRDefault="000F0F2F"/>
  </w:footnote>
  <w:footnote w:type="continuationNotice" w:id="1">
    <w:p w14:paraId="580F4829" w14:textId="77777777" w:rsidR="000F0F2F" w:rsidRDefault="000F0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E20D" w14:textId="57FFF4C4" w:rsidR="00A432CD" w:rsidRPr="0009110D" w:rsidRDefault="00F21B41" w:rsidP="00B72444">
    <w:pPr>
      <w:pStyle w:val="Header"/>
      <w:rPr>
        <w:sz w:val="18"/>
        <w:szCs w:val="18"/>
      </w:rPr>
    </w:pPr>
    <w:r w:rsidRPr="0009110D">
      <w:rPr>
        <w:sz w:val="18"/>
        <w:szCs w:val="18"/>
      </w:rPr>
      <w:t>SERCOM-</w:t>
    </w:r>
    <w:r w:rsidR="00250A6B">
      <w:rPr>
        <w:sz w:val="18"/>
        <w:szCs w:val="18"/>
      </w:rPr>
      <w:t>3</w:t>
    </w:r>
    <w:r w:rsidRPr="0009110D">
      <w:rPr>
        <w:sz w:val="18"/>
        <w:szCs w:val="18"/>
      </w:rPr>
      <w:t xml:space="preserve">/Doc. </w:t>
    </w:r>
    <w:r w:rsidR="003F4862">
      <w:rPr>
        <w:sz w:val="18"/>
        <w:szCs w:val="18"/>
      </w:rPr>
      <w:t>6</w:t>
    </w:r>
    <w:r w:rsidR="00A432CD" w:rsidRPr="0009110D">
      <w:rPr>
        <w:sz w:val="18"/>
        <w:szCs w:val="18"/>
      </w:rPr>
      <w:t xml:space="preserve">, </w:t>
    </w:r>
    <w:r w:rsidR="000D4EB9" w:rsidRPr="0009110D">
      <w:rPr>
        <w:sz w:val="18"/>
        <w:szCs w:val="18"/>
        <w:lang w:val="en-CH"/>
      </w:rPr>
      <w:t>VERSION</w:t>
    </w:r>
    <w:r w:rsidR="00A432CD" w:rsidRPr="0009110D">
      <w:rPr>
        <w:sz w:val="18"/>
        <w:szCs w:val="18"/>
      </w:rPr>
      <w:t xml:space="preserve"> 1, p. </w:t>
    </w:r>
    <w:r w:rsidR="00A432CD" w:rsidRPr="0009110D">
      <w:rPr>
        <w:rStyle w:val="PageNumber"/>
        <w:sz w:val="18"/>
        <w:szCs w:val="18"/>
      </w:rPr>
      <w:fldChar w:fldCharType="begin"/>
    </w:r>
    <w:r w:rsidR="00A432CD" w:rsidRPr="0009110D">
      <w:rPr>
        <w:rStyle w:val="PageNumber"/>
        <w:sz w:val="18"/>
        <w:szCs w:val="18"/>
      </w:rPr>
      <w:instrText xml:space="preserve"> PAGE </w:instrText>
    </w:r>
    <w:r w:rsidR="00A432CD" w:rsidRPr="0009110D">
      <w:rPr>
        <w:rStyle w:val="PageNumber"/>
        <w:sz w:val="18"/>
        <w:szCs w:val="18"/>
      </w:rPr>
      <w:fldChar w:fldCharType="separate"/>
    </w:r>
    <w:r w:rsidR="00A432CD" w:rsidRPr="0009110D">
      <w:rPr>
        <w:rStyle w:val="PageNumber"/>
        <w:noProof/>
        <w:sz w:val="18"/>
        <w:szCs w:val="18"/>
      </w:rPr>
      <w:t>6</w:t>
    </w:r>
    <w:r w:rsidR="00A432CD" w:rsidRPr="0009110D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344604">
    <w:abstractNumId w:val="30"/>
  </w:num>
  <w:num w:numId="2" w16cid:durableId="1654218209">
    <w:abstractNumId w:val="45"/>
  </w:num>
  <w:num w:numId="3" w16cid:durableId="336008981">
    <w:abstractNumId w:val="28"/>
  </w:num>
  <w:num w:numId="4" w16cid:durableId="1041973828">
    <w:abstractNumId w:val="37"/>
  </w:num>
  <w:num w:numId="5" w16cid:durableId="1725565958">
    <w:abstractNumId w:val="18"/>
  </w:num>
  <w:num w:numId="6" w16cid:durableId="576861133">
    <w:abstractNumId w:val="23"/>
  </w:num>
  <w:num w:numId="7" w16cid:durableId="1220365271">
    <w:abstractNumId w:val="19"/>
  </w:num>
  <w:num w:numId="8" w16cid:durableId="1637880593">
    <w:abstractNumId w:val="31"/>
  </w:num>
  <w:num w:numId="9" w16cid:durableId="703211292">
    <w:abstractNumId w:val="22"/>
  </w:num>
  <w:num w:numId="10" w16cid:durableId="1991401446">
    <w:abstractNumId w:val="21"/>
  </w:num>
  <w:num w:numId="11" w16cid:durableId="508719296">
    <w:abstractNumId w:val="36"/>
  </w:num>
  <w:num w:numId="12" w16cid:durableId="2121951811">
    <w:abstractNumId w:val="12"/>
  </w:num>
  <w:num w:numId="13" w16cid:durableId="1249272479">
    <w:abstractNumId w:val="26"/>
  </w:num>
  <w:num w:numId="14" w16cid:durableId="913784059">
    <w:abstractNumId w:val="41"/>
  </w:num>
  <w:num w:numId="15" w16cid:durableId="500586916">
    <w:abstractNumId w:val="20"/>
  </w:num>
  <w:num w:numId="16" w16cid:durableId="649408588">
    <w:abstractNumId w:val="9"/>
  </w:num>
  <w:num w:numId="17" w16cid:durableId="167715666">
    <w:abstractNumId w:val="7"/>
  </w:num>
  <w:num w:numId="18" w16cid:durableId="554588165">
    <w:abstractNumId w:val="6"/>
  </w:num>
  <w:num w:numId="19" w16cid:durableId="417290623">
    <w:abstractNumId w:val="5"/>
  </w:num>
  <w:num w:numId="20" w16cid:durableId="931202964">
    <w:abstractNumId w:val="4"/>
  </w:num>
  <w:num w:numId="21" w16cid:durableId="1254514888">
    <w:abstractNumId w:val="8"/>
  </w:num>
  <w:num w:numId="22" w16cid:durableId="456144378">
    <w:abstractNumId w:val="3"/>
  </w:num>
  <w:num w:numId="23" w16cid:durableId="1010722808">
    <w:abstractNumId w:val="2"/>
  </w:num>
  <w:num w:numId="24" w16cid:durableId="1803424494">
    <w:abstractNumId w:val="1"/>
  </w:num>
  <w:num w:numId="25" w16cid:durableId="1580672959">
    <w:abstractNumId w:val="0"/>
  </w:num>
  <w:num w:numId="26" w16cid:durableId="1814983604">
    <w:abstractNumId w:val="43"/>
  </w:num>
  <w:num w:numId="27" w16cid:durableId="1720012237">
    <w:abstractNumId w:val="32"/>
  </w:num>
  <w:num w:numId="28" w16cid:durableId="798841856">
    <w:abstractNumId w:val="24"/>
  </w:num>
  <w:num w:numId="29" w16cid:durableId="1154221663">
    <w:abstractNumId w:val="33"/>
  </w:num>
  <w:num w:numId="30" w16cid:durableId="490219930">
    <w:abstractNumId w:val="34"/>
  </w:num>
  <w:num w:numId="31" w16cid:durableId="1010566439">
    <w:abstractNumId w:val="15"/>
  </w:num>
  <w:num w:numId="32" w16cid:durableId="882134030">
    <w:abstractNumId w:val="40"/>
  </w:num>
  <w:num w:numId="33" w16cid:durableId="789784922">
    <w:abstractNumId w:val="38"/>
  </w:num>
  <w:num w:numId="34" w16cid:durableId="1723089989">
    <w:abstractNumId w:val="25"/>
  </w:num>
  <w:num w:numId="35" w16cid:durableId="1694990133">
    <w:abstractNumId w:val="27"/>
  </w:num>
  <w:num w:numId="36" w16cid:durableId="1627277369">
    <w:abstractNumId w:val="44"/>
  </w:num>
  <w:num w:numId="37" w16cid:durableId="407730713">
    <w:abstractNumId w:val="35"/>
  </w:num>
  <w:num w:numId="38" w16cid:durableId="1866017617">
    <w:abstractNumId w:val="13"/>
  </w:num>
  <w:num w:numId="39" w16cid:durableId="1843154871">
    <w:abstractNumId w:val="14"/>
  </w:num>
  <w:num w:numId="40" w16cid:durableId="1397777404">
    <w:abstractNumId w:val="16"/>
  </w:num>
  <w:num w:numId="41" w16cid:durableId="620191929">
    <w:abstractNumId w:val="10"/>
  </w:num>
  <w:num w:numId="42" w16cid:durableId="578902319">
    <w:abstractNumId w:val="42"/>
  </w:num>
  <w:num w:numId="43" w16cid:durableId="1976985284">
    <w:abstractNumId w:val="17"/>
  </w:num>
  <w:num w:numId="44" w16cid:durableId="449469368">
    <w:abstractNumId w:val="29"/>
  </w:num>
  <w:num w:numId="45" w16cid:durableId="71970146">
    <w:abstractNumId w:val="39"/>
  </w:num>
  <w:num w:numId="46" w16cid:durableId="15791679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2F"/>
    <w:rsid w:val="00001AAC"/>
    <w:rsid w:val="00005301"/>
    <w:rsid w:val="000133EE"/>
    <w:rsid w:val="0002058C"/>
    <w:rsid w:val="000206A8"/>
    <w:rsid w:val="00025AEB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1E04"/>
    <w:rsid w:val="00064F6B"/>
    <w:rsid w:val="00072F17"/>
    <w:rsid w:val="000731AA"/>
    <w:rsid w:val="000806D8"/>
    <w:rsid w:val="00082C80"/>
    <w:rsid w:val="00083847"/>
    <w:rsid w:val="00083C36"/>
    <w:rsid w:val="00084D58"/>
    <w:rsid w:val="0009110D"/>
    <w:rsid w:val="00092CAE"/>
    <w:rsid w:val="00095E48"/>
    <w:rsid w:val="000A4F1C"/>
    <w:rsid w:val="000A69BF"/>
    <w:rsid w:val="000B28C7"/>
    <w:rsid w:val="000C225A"/>
    <w:rsid w:val="000C6781"/>
    <w:rsid w:val="000D0753"/>
    <w:rsid w:val="000D0BAA"/>
    <w:rsid w:val="000D4EB9"/>
    <w:rsid w:val="000E21D8"/>
    <w:rsid w:val="000E4352"/>
    <w:rsid w:val="000F0F2F"/>
    <w:rsid w:val="000F5E49"/>
    <w:rsid w:val="000F7A87"/>
    <w:rsid w:val="00102EAE"/>
    <w:rsid w:val="001047DC"/>
    <w:rsid w:val="00104F3C"/>
    <w:rsid w:val="00105D2E"/>
    <w:rsid w:val="00111BFD"/>
    <w:rsid w:val="00113306"/>
    <w:rsid w:val="0011498B"/>
    <w:rsid w:val="00120147"/>
    <w:rsid w:val="00123140"/>
    <w:rsid w:val="00123D94"/>
    <w:rsid w:val="00127090"/>
    <w:rsid w:val="00130A6D"/>
    <w:rsid w:val="00130BBC"/>
    <w:rsid w:val="00133D13"/>
    <w:rsid w:val="00145EE0"/>
    <w:rsid w:val="00150DBD"/>
    <w:rsid w:val="00153CB0"/>
    <w:rsid w:val="00154FE6"/>
    <w:rsid w:val="00156F9B"/>
    <w:rsid w:val="00163BA3"/>
    <w:rsid w:val="00163C22"/>
    <w:rsid w:val="00166B31"/>
    <w:rsid w:val="00167D54"/>
    <w:rsid w:val="00176AB5"/>
    <w:rsid w:val="00180771"/>
    <w:rsid w:val="001849F9"/>
    <w:rsid w:val="00186278"/>
    <w:rsid w:val="00190854"/>
    <w:rsid w:val="001925AA"/>
    <w:rsid w:val="001930A3"/>
    <w:rsid w:val="00196EB8"/>
    <w:rsid w:val="001A25F0"/>
    <w:rsid w:val="001A341E"/>
    <w:rsid w:val="001B0EA6"/>
    <w:rsid w:val="001B1CDF"/>
    <w:rsid w:val="001B2EC4"/>
    <w:rsid w:val="001B4E20"/>
    <w:rsid w:val="001B56F4"/>
    <w:rsid w:val="001C5462"/>
    <w:rsid w:val="001C6B49"/>
    <w:rsid w:val="001D265C"/>
    <w:rsid w:val="001D3062"/>
    <w:rsid w:val="001D3CFB"/>
    <w:rsid w:val="001D559B"/>
    <w:rsid w:val="001D6302"/>
    <w:rsid w:val="001D71D0"/>
    <w:rsid w:val="001D7365"/>
    <w:rsid w:val="001E2C22"/>
    <w:rsid w:val="001E46D8"/>
    <w:rsid w:val="001E6BEE"/>
    <w:rsid w:val="001E740C"/>
    <w:rsid w:val="001E7DD0"/>
    <w:rsid w:val="001F1BDA"/>
    <w:rsid w:val="001F3121"/>
    <w:rsid w:val="0020095E"/>
    <w:rsid w:val="0020370D"/>
    <w:rsid w:val="002066F1"/>
    <w:rsid w:val="00206900"/>
    <w:rsid w:val="00210BFE"/>
    <w:rsid w:val="00210D30"/>
    <w:rsid w:val="002204FD"/>
    <w:rsid w:val="00221020"/>
    <w:rsid w:val="00227029"/>
    <w:rsid w:val="002308B5"/>
    <w:rsid w:val="00233C0B"/>
    <w:rsid w:val="00234A34"/>
    <w:rsid w:val="00247507"/>
    <w:rsid w:val="00250A6B"/>
    <w:rsid w:val="0025255D"/>
    <w:rsid w:val="00255EE3"/>
    <w:rsid w:val="002569CE"/>
    <w:rsid w:val="00256B3D"/>
    <w:rsid w:val="00260AA4"/>
    <w:rsid w:val="00263556"/>
    <w:rsid w:val="0026743C"/>
    <w:rsid w:val="00270480"/>
    <w:rsid w:val="00270C7E"/>
    <w:rsid w:val="00270E9C"/>
    <w:rsid w:val="002779AF"/>
    <w:rsid w:val="002823D8"/>
    <w:rsid w:val="00282644"/>
    <w:rsid w:val="0028531A"/>
    <w:rsid w:val="00285446"/>
    <w:rsid w:val="00290082"/>
    <w:rsid w:val="00295593"/>
    <w:rsid w:val="002A354F"/>
    <w:rsid w:val="002A386C"/>
    <w:rsid w:val="002B09DF"/>
    <w:rsid w:val="002B11A8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3D97"/>
    <w:rsid w:val="002D5E00"/>
    <w:rsid w:val="002D6BA9"/>
    <w:rsid w:val="002D6DAC"/>
    <w:rsid w:val="002E261D"/>
    <w:rsid w:val="002E273D"/>
    <w:rsid w:val="002E3FAD"/>
    <w:rsid w:val="002E4E16"/>
    <w:rsid w:val="002E4E34"/>
    <w:rsid w:val="002F6DAC"/>
    <w:rsid w:val="00301E8C"/>
    <w:rsid w:val="003067CC"/>
    <w:rsid w:val="00307DDD"/>
    <w:rsid w:val="0031257D"/>
    <w:rsid w:val="003143C9"/>
    <w:rsid w:val="003146E9"/>
    <w:rsid w:val="00314D5D"/>
    <w:rsid w:val="00320009"/>
    <w:rsid w:val="0032424A"/>
    <w:rsid w:val="003245D3"/>
    <w:rsid w:val="00330A1B"/>
    <w:rsid w:val="00330AA3"/>
    <w:rsid w:val="00331584"/>
    <w:rsid w:val="00331964"/>
    <w:rsid w:val="0033420B"/>
    <w:rsid w:val="00334987"/>
    <w:rsid w:val="0033648C"/>
    <w:rsid w:val="00337A28"/>
    <w:rsid w:val="00340C69"/>
    <w:rsid w:val="00342E34"/>
    <w:rsid w:val="00343663"/>
    <w:rsid w:val="003500B9"/>
    <w:rsid w:val="0035577C"/>
    <w:rsid w:val="00357A5C"/>
    <w:rsid w:val="00363A0C"/>
    <w:rsid w:val="00371CF1"/>
    <w:rsid w:val="0037222D"/>
    <w:rsid w:val="00372AEF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B1030"/>
    <w:rsid w:val="003C144E"/>
    <w:rsid w:val="003C17A5"/>
    <w:rsid w:val="003C1843"/>
    <w:rsid w:val="003D1552"/>
    <w:rsid w:val="003E287A"/>
    <w:rsid w:val="003E381F"/>
    <w:rsid w:val="003E4046"/>
    <w:rsid w:val="003F003A"/>
    <w:rsid w:val="003F0A65"/>
    <w:rsid w:val="003F125B"/>
    <w:rsid w:val="003F4862"/>
    <w:rsid w:val="003F7B3F"/>
    <w:rsid w:val="004021E8"/>
    <w:rsid w:val="004058AD"/>
    <w:rsid w:val="0041078D"/>
    <w:rsid w:val="004119F2"/>
    <w:rsid w:val="00416F97"/>
    <w:rsid w:val="0042127E"/>
    <w:rsid w:val="00424D06"/>
    <w:rsid w:val="00425173"/>
    <w:rsid w:val="0043039B"/>
    <w:rsid w:val="00436197"/>
    <w:rsid w:val="00441A6E"/>
    <w:rsid w:val="004423FE"/>
    <w:rsid w:val="00442C11"/>
    <w:rsid w:val="00445C35"/>
    <w:rsid w:val="00454B41"/>
    <w:rsid w:val="0045663A"/>
    <w:rsid w:val="00462C67"/>
    <w:rsid w:val="0046344E"/>
    <w:rsid w:val="004667E7"/>
    <w:rsid w:val="004672CF"/>
    <w:rsid w:val="00470DEF"/>
    <w:rsid w:val="00474513"/>
    <w:rsid w:val="00475797"/>
    <w:rsid w:val="00476D0A"/>
    <w:rsid w:val="00491024"/>
    <w:rsid w:val="0049253B"/>
    <w:rsid w:val="004A140B"/>
    <w:rsid w:val="004A1516"/>
    <w:rsid w:val="004A4B47"/>
    <w:rsid w:val="004B0EC9"/>
    <w:rsid w:val="004B7BAA"/>
    <w:rsid w:val="004C2DF7"/>
    <w:rsid w:val="004C4E0B"/>
    <w:rsid w:val="004D2E21"/>
    <w:rsid w:val="004D497E"/>
    <w:rsid w:val="004E4809"/>
    <w:rsid w:val="004E4CC3"/>
    <w:rsid w:val="004E5985"/>
    <w:rsid w:val="004E6352"/>
    <w:rsid w:val="004E6460"/>
    <w:rsid w:val="004F3564"/>
    <w:rsid w:val="004F685F"/>
    <w:rsid w:val="004F6B46"/>
    <w:rsid w:val="00501B10"/>
    <w:rsid w:val="0050425E"/>
    <w:rsid w:val="00506B4B"/>
    <w:rsid w:val="00511999"/>
    <w:rsid w:val="005145D6"/>
    <w:rsid w:val="00521EA5"/>
    <w:rsid w:val="00525B80"/>
    <w:rsid w:val="005267B4"/>
    <w:rsid w:val="0053098F"/>
    <w:rsid w:val="00530DEF"/>
    <w:rsid w:val="00536B2E"/>
    <w:rsid w:val="005457E5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A41D1"/>
    <w:rsid w:val="005A694C"/>
    <w:rsid w:val="005B0AE2"/>
    <w:rsid w:val="005B1C5A"/>
    <w:rsid w:val="005B1F2C"/>
    <w:rsid w:val="005B2E2F"/>
    <w:rsid w:val="005B5F3C"/>
    <w:rsid w:val="005C31DA"/>
    <w:rsid w:val="005C41F2"/>
    <w:rsid w:val="005D03D9"/>
    <w:rsid w:val="005D1EE8"/>
    <w:rsid w:val="005D56AE"/>
    <w:rsid w:val="005D666D"/>
    <w:rsid w:val="005E3A59"/>
    <w:rsid w:val="005E3ACD"/>
    <w:rsid w:val="005F7A42"/>
    <w:rsid w:val="005F7B9C"/>
    <w:rsid w:val="00604802"/>
    <w:rsid w:val="00615AB0"/>
    <w:rsid w:val="00616247"/>
    <w:rsid w:val="0061778C"/>
    <w:rsid w:val="0062544C"/>
    <w:rsid w:val="00630321"/>
    <w:rsid w:val="00636B90"/>
    <w:rsid w:val="00644330"/>
    <w:rsid w:val="0064738B"/>
    <w:rsid w:val="006508EA"/>
    <w:rsid w:val="006523AE"/>
    <w:rsid w:val="00657CB7"/>
    <w:rsid w:val="00667E86"/>
    <w:rsid w:val="0068392D"/>
    <w:rsid w:val="00697DB5"/>
    <w:rsid w:val="006A1B33"/>
    <w:rsid w:val="006A492A"/>
    <w:rsid w:val="006A7142"/>
    <w:rsid w:val="006B51C2"/>
    <w:rsid w:val="006B5C72"/>
    <w:rsid w:val="006B5E24"/>
    <w:rsid w:val="006B6644"/>
    <w:rsid w:val="006B67BD"/>
    <w:rsid w:val="006B7C5A"/>
    <w:rsid w:val="006C289D"/>
    <w:rsid w:val="006D0310"/>
    <w:rsid w:val="006D2009"/>
    <w:rsid w:val="006D5576"/>
    <w:rsid w:val="006E766D"/>
    <w:rsid w:val="006F4B29"/>
    <w:rsid w:val="006F6CE9"/>
    <w:rsid w:val="006F7126"/>
    <w:rsid w:val="0070517C"/>
    <w:rsid w:val="00705C9F"/>
    <w:rsid w:val="007133CA"/>
    <w:rsid w:val="00716951"/>
    <w:rsid w:val="00720F6B"/>
    <w:rsid w:val="00730ADA"/>
    <w:rsid w:val="00732C37"/>
    <w:rsid w:val="00735D9E"/>
    <w:rsid w:val="0074576F"/>
    <w:rsid w:val="00745A09"/>
    <w:rsid w:val="00751EAF"/>
    <w:rsid w:val="00754CF7"/>
    <w:rsid w:val="00757B0D"/>
    <w:rsid w:val="00761320"/>
    <w:rsid w:val="00761A5B"/>
    <w:rsid w:val="007651B1"/>
    <w:rsid w:val="00766285"/>
    <w:rsid w:val="00767CE1"/>
    <w:rsid w:val="00771A68"/>
    <w:rsid w:val="007744D2"/>
    <w:rsid w:val="00776438"/>
    <w:rsid w:val="00786136"/>
    <w:rsid w:val="00796CE3"/>
    <w:rsid w:val="007A47F1"/>
    <w:rsid w:val="007B05CF"/>
    <w:rsid w:val="007B186C"/>
    <w:rsid w:val="007B5759"/>
    <w:rsid w:val="007C212A"/>
    <w:rsid w:val="007C367C"/>
    <w:rsid w:val="007D1A93"/>
    <w:rsid w:val="007D2913"/>
    <w:rsid w:val="007D5B3C"/>
    <w:rsid w:val="007E7D21"/>
    <w:rsid w:val="007E7DBD"/>
    <w:rsid w:val="007F11AB"/>
    <w:rsid w:val="007F13EE"/>
    <w:rsid w:val="007F482F"/>
    <w:rsid w:val="007F4BD5"/>
    <w:rsid w:val="007F7C94"/>
    <w:rsid w:val="0080398D"/>
    <w:rsid w:val="00805174"/>
    <w:rsid w:val="00806385"/>
    <w:rsid w:val="00807CC5"/>
    <w:rsid w:val="00807ED7"/>
    <w:rsid w:val="00814CC6"/>
    <w:rsid w:val="008172ED"/>
    <w:rsid w:val="00822926"/>
    <w:rsid w:val="00823E63"/>
    <w:rsid w:val="00826D53"/>
    <w:rsid w:val="008273AA"/>
    <w:rsid w:val="00830255"/>
    <w:rsid w:val="00831751"/>
    <w:rsid w:val="00833369"/>
    <w:rsid w:val="00835B42"/>
    <w:rsid w:val="00840410"/>
    <w:rsid w:val="008408B8"/>
    <w:rsid w:val="00842A4E"/>
    <w:rsid w:val="00843276"/>
    <w:rsid w:val="00847D99"/>
    <w:rsid w:val="0085038E"/>
    <w:rsid w:val="0085230A"/>
    <w:rsid w:val="008535E6"/>
    <w:rsid w:val="00854ABB"/>
    <w:rsid w:val="00855757"/>
    <w:rsid w:val="00856FF8"/>
    <w:rsid w:val="00860014"/>
    <w:rsid w:val="00860B9A"/>
    <w:rsid w:val="0086271D"/>
    <w:rsid w:val="0086420B"/>
    <w:rsid w:val="00864DBF"/>
    <w:rsid w:val="00865AE2"/>
    <w:rsid w:val="008663C8"/>
    <w:rsid w:val="0088163A"/>
    <w:rsid w:val="00893376"/>
    <w:rsid w:val="00894A1B"/>
    <w:rsid w:val="0089601F"/>
    <w:rsid w:val="008970B8"/>
    <w:rsid w:val="008A4184"/>
    <w:rsid w:val="008A7313"/>
    <w:rsid w:val="008A7D91"/>
    <w:rsid w:val="008B5BD0"/>
    <w:rsid w:val="008B7FC7"/>
    <w:rsid w:val="008C4337"/>
    <w:rsid w:val="008C4F06"/>
    <w:rsid w:val="008D0C90"/>
    <w:rsid w:val="008D1029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1F02"/>
    <w:rsid w:val="0093261F"/>
    <w:rsid w:val="00933957"/>
    <w:rsid w:val="009356FA"/>
    <w:rsid w:val="00941EDC"/>
    <w:rsid w:val="0094243F"/>
    <w:rsid w:val="0094603B"/>
    <w:rsid w:val="009504A1"/>
    <w:rsid w:val="00950605"/>
    <w:rsid w:val="00952233"/>
    <w:rsid w:val="00954D66"/>
    <w:rsid w:val="00962671"/>
    <w:rsid w:val="00963F8F"/>
    <w:rsid w:val="00971C65"/>
    <w:rsid w:val="00972509"/>
    <w:rsid w:val="00973C62"/>
    <w:rsid w:val="00975D76"/>
    <w:rsid w:val="00982E51"/>
    <w:rsid w:val="009874B9"/>
    <w:rsid w:val="00992ED2"/>
    <w:rsid w:val="00993581"/>
    <w:rsid w:val="009A288C"/>
    <w:rsid w:val="009A32AB"/>
    <w:rsid w:val="009A46E2"/>
    <w:rsid w:val="009A64C1"/>
    <w:rsid w:val="009B6697"/>
    <w:rsid w:val="009C2B43"/>
    <w:rsid w:val="009C2EA4"/>
    <w:rsid w:val="009C4C04"/>
    <w:rsid w:val="009D5213"/>
    <w:rsid w:val="009E1C95"/>
    <w:rsid w:val="009F196A"/>
    <w:rsid w:val="009F2973"/>
    <w:rsid w:val="009F2B0D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01AF"/>
    <w:rsid w:val="00A332E8"/>
    <w:rsid w:val="00A350FC"/>
    <w:rsid w:val="00A35114"/>
    <w:rsid w:val="00A35AF5"/>
    <w:rsid w:val="00A35DDF"/>
    <w:rsid w:val="00A36CBA"/>
    <w:rsid w:val="00A41A2E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5D41"/>
    <w:rsid w:val="00A66DD6"/>
    <w:rsid w:val="00A75018"/>
    <w:rsid w:val="00A771FD"/>
    <w:rsid w:val="00A80767"/>
    <w:rsid w:val="00A80874"/>
    <w:rsid w:val="00A818E7"/>
    <w:rsid w:val="00A81C90"/>
    <w:rsid w:val="00A874EF"/>
    <w:rsid w:val="00A95415"/>
    <w:rsid w:val="00A9720F"/>
    <w:rsid w:val="00AA3C89"/>
    <w:rsid w:val="00AA6358"/>
    <w:rsid w:val="00AB32BD"/>
    <w:rsid w:val="00AB4723"/>
    <w:rsid w:val="00AC4CDB"/>
    <w:rsid w:val="00AC5057"/>
    <w:rsid w:val="00AC6250"/>
    <w:rsid w:val="00AC64F8"/>
    <w:rsid w:val="00AC70FE"/>
    <w:rsid w:val="00AD1A43"/>
    <w:rsid w:val="00AD3AA3"/>
    <w:rsid w:val="00AD4358"/>
    <w:rsid w:val="00AF61E1"/>
    <w:rsid w:val="00AF638A"/>
    <w:rsid w:val="00AF67EB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17DC"/>
    <w:rsid w:val="00B15C76"/>
    <w:rsid w:val="00B165E6"/>
    <w:rsid w:val="00B235DB"/>
    <w:rsid w:val="00B24894"/>
    <w:rsid w:val="00B33821"/>
    <w:rsid w:val="00B424D9"/>
    <w:rsid w:val="00B447C0"/>
    <w:rsid w:val="00B45630"/>
    <w:rsid w:val="00B47674"/>
    <w:rsid w:val="00B52510"/>
    <w:rsid w:val="00B52AC9"/>
    <w:rsid w:val="00B53E53"/>
    <w:rsid w:val="00B548A2"/>
    <w:rsid w:val="00B56934"/>
    <w:rsid w:val="00B62F03"/>
    <w:rsid w:val="00B63C00"/>
    <w:rsid w:val="00B72444"/>
    <w:rsid w:val="00B86096"/>
    <w:rsid w:val="00B93B62"/>
    <w:rsid w:val="00B953D1"/>
    <w:rsid w:val="00B96D93"/>
    <w:rsid w:val="00BA30D0"/>
    <w:rsid w:val="00BA52F8"/>
    <w:rsid w:val="00BB0D32"/>
    <w:rsid w:val="00BC37E9"/>
    <w:rsid w:val="00BC76B5"/>
    <w:rsid w:val="00BD5420"/>
    <w:rsid w:val="00BE12AB"/>
    <w:rsid w:val="00BF5191"/>
    <w:rsid w:val="00C03928"/>
    <w:rsid w:val="00C04BD2"/>
    <w:rsid w:val="00C073D3"/>
    <w:rsid w:val="00C13EEC"/>
    <w:rsid w:val="00C14689"/>
    <w:rsid w:val="00C156A4"/>
    <w:rsid w:val="00C20FAA"/>
    <w:rsid w:val="00C20FF0"/>
    <w:rsid w:val="00C23509"/>
    <w:rsid w:val="00C2459D"/>
    <w:rsid w:val="00C2588F"/>
    <w:rsid w:val="00C2755A"/>
    <w:rsid w:val="00C2775B"/>
    <w:rsid w:val="00C316F1"/>
    <w:rsid w:val="00C42C95"/>
    <w:rsid w:val="00C4470F"/>
    <w:rsid w:val="00C464DB"/>
    <w:rsid w:val="00C50727"/>
    <w:rsid w:val="00C55E5B"/>
    <w:rsid w:val="00C5755D"/>
    <w:rsid w:val="00C62739"/>
    <w:rsid w:val="00C63C4E"/>
    <w:rsid w:val="00C720A4"/>
    <w:rsid w:val="00C74F59"/>
    <w:rsid w:val="00C7611C"/>
    <w:rsid w:val="00C7748B"/>
    <w:rsid w:val="00C80319"/>
    <w:rsid w:val="00C925A5"/>
    <w:rsid w:val="00C94097"/>
    <w:rsid w:val="00C9447D"/>
    <w:rsid w:val="00C971D8"/>
    <w:rsid w:val="00CA33D7"/>
    <w:rsid w:val="00CA4269"/>
    <w:rsid w:val="00CA48CA"/>
    <w:rsid w:val="00CA7330"/>
    <w:rsid w:val="00CB1C84"/>
    <w:rsid w:val="00CB5363"/>
    <w:rsid w:val="00CB5443"/>
    <w:rsid w:val="00CB64F0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34F01"/>
    <w:rsid w:val="00D419C6"/>
    <w:rsid w:val="00D44BAD"/>
    <w:rsid w:val="00D45B55"/>
    <w:rsid w:val="00D4785A"/>
    <w:rsid w:val="00D52E43"/>
    <w:rsid w:val="00D57D69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B2F44"/>
    <w:rsid w:val="00DC17C2"/>
    <w:rsid w:val="00DC4FDF"/>
    <w:rsid w:val="00DC66F0"/>
    <w:rsid w:val="00DC7CE3"/>
    <w:rsid w:val="00DD1081"/>
    <w:rsid w:val="00DD3105"/>
    <w:rsid w:val="00DD3A65"/>
    <w:rsid w:val="00DD3B6A"/>
    <w:rsid w:val="00DD4236"/>
    <w:rsid w:val="00DD5BDE"/>
    <w:rsid w:val="00DD62C6"/>
    <w:rsid w:val="00DE3B92"/>
    <w:rsid w:val="00DE459E"/>
    <w:rsid w:val="00DE48B4"/>
    <w:rsid w:val="00DE5ACA"/>
    <w:rsid w:val="00DE7137"/>
    <w:rsid w:val="00DF18E4"/>
    <w:rsid w:val="00E00498"/>
    <w:rsid w:val="00E1464C"/>
    <w:rsid w:val="00E14ADB"/>
    <w:rsid w:val="00E2057E"/>
    <w:rsid w:val="00E22AD8"/>
    <w:rsid w:val="00E22F78"/>
    <w:rsid w:val="00E2425D"/>
    <w:rsid w:val="00E24F87"/>
    <w:rsid w:val="00E2617A"/>
    <w:rsid w:val="00E273FB"/>
    <w:rsid w:val="00E31CD4"/>
    <w:rsid w:val="00E47E65"/>
    <w:rsid w:val="00E538E6"/>
    <w:rsid w:val="00E56696"/>
    <w:rsid w:val="00E74332"/>
    <w:rsid w:val="00E768A9"/>
    <w:rsid w:val="00E802A2"/>
    <w:rsid w:val="00E8410F"/>
    <w:rsid w:val="00E85C0B"/>
    <w:rsid w:val="00E9696E"/>
    <w:rsid w:val="00EA7089"/>
    <w:rsid w:val="00EB13D7"/>
    <w:rsid w:val="00EB1E83"/>
    <w:rsid w:val="00ED22CB"/>
    <w:rsid w:val="00ED4BB1"/>
    <w:rsid w:val="00ED67AF"/>
    <w:rsid w:val="00EE11F0"/>
    <w:rsid w:val="00EE128C"/>
    <w:rsid w:val="00EE41E5"/>
    <w:rsid w:val="00EE4C48"/>
    <w:rsid w:val="00EE5D2E"/>
    <w:rsid w:val="00EE7E6F"/>
    <w:rsid w:val="00EF2452"/>
    <w:rsid w:val="00EF2586"/>
    <w:rsid w:val="00EF66D9"/>
    <w:rsid w:val="00EF68E3"/>
    <w:rsid w:val="00EF6BA5"/>
    <w:rsid w:val="00EF6DB8"/>
    <w:rsid w:val="00EF780D"/>
    <w:rsid w:val="00EF7A98"/>
    <w:rsid w:val="00F0267E"/>
    <w:rsid w:val="00F03A85"/>
    <w:rsid w:val="00F071B2"/>
    <w:rsid w:val="00F11B47"/>
    <w:rsid w:val="00F21B41"/>
    <w:rsid w:val="00F2412D"/>
    <w:rsid w:val="00F25D8D"/>
    <w:rsid w:val="00F3069C"/>
    <w:rsid w:val="00F34D47"/>
    <w:rsid w:val="00F3603E"/>
    <w:rsid w:val="00F44CCB"/>
    <w:rsid w:val="00F46EDF"/>
    <w:rsid w:val="00F474C9"/>
    <w:rsid w:val="00F5126B"/>
    <w:rsid w:val="00F54EA3"/>
    <w:rsid w:val="00F563A1"/>
    <w:rsid w:val="00F57021"/>
    <w:rsid w:val="00F61675"/>
    <w:rsid w:val="00F6686B"/>
    <w:rsid w:val="00F67F74"/>
    <w:rsid w:val="00F70747"/>
    <w:rsid w:val="00F712B3"/>
    <w:rsid w:val="00F71E9F"/>
    <w:rsid w:val="00F73DE3"/>
    <w:rsid w:val="00F744BF"/>
    <w:rsid w:val="00F7632C"/>
    <w:rsid w:val="00F77219"/>
    <w:rsid w:val="00F84DD2"/>
    <w:rsid w:val="00F95439"/>
    <w:rsid w:val="00FA64BF"/>
    <w:rsid w:val="00FB0872"/>
    <w:rsid w:val="00FB42BB"/>
    <w:rsid w:val="00FB54CC"/>
    <w:rsid w:val="00FB695F"/>
    <w:rsid w:val="00FC6C1D"/>
    <w:rsid w:val="00FC7F34"/>
    <w:rsid w:val="00FD1A37"/>
    <w:rsid w:val="00FD4E5B"/>
    <w:rsid w:val="00FD7378"/>
    <w:rsid w:val="00FE4EE0"/>
    <w:rsid w:val="00FF0F9A"/>
    <w:rsid w:val="00FF40F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D6CBB3"/>
  <w15:docId w15:val="{FC739FDE-EA74-4F02-A282-4C653E0B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86278"/>
  </w:style>
  <w:style w:type="paragraph" w:styleId="Revision">
    <w:name w:val="Revision"/>
    <w:hidden/>
    <w:semiHidden/>
    <w:rsid w:val="00B63C00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records/item/56841-rules-of-procedure-for-technical-commissions?offset=1" TargetMode="External"/><Relationship Id="rId18" Type="http://schemas.openxmlformats.org/officeDocument/2006/relationships/hyperlink" Target="https://library.wmo.int/idviewer/55278/14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dviewer/68194/548" TargetMode="External"/><Relationship Id="rId17" Type="http://schemas.openxmlformats.org/officeDocument/2006/relationships/hyperlink" Target="https://library.wmo.int/idviewer/66341/1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records/item/56841-rules-of-procedure-for-technical-commissions?offset=1" TargetMode="External"/><Relationship Id="rId20" Type="http://schemas.openxmlformats.org/officeDocument/2006/relationships/hyperlink" Target="https://library.wmo.int/records/item/56841-rules-of-procedure-for-technical-commissions?offset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records/item/56841-rules-of-procedure-for-technical-commissions?offset=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dviewer/68194/548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SERCOM-3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8A0FC-68B5-4523-9FCC-4C365297B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E1E5DC-D17F-4451-AC6B-91B5B68F94C2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purl.org/dc/elements/1.1/"/>
    <ds:schemaRef ds:uri="http://schemas.microsoft.com/office/2006/documentManagement/types"/>
    <ds:schemaRef ds:uri="http://www.w3.org/XML/1998/namespace"/>
    <ds:schemaRef ds:uri="ce21bc6c-711a-4065-a01c-a8f0e29e3ad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679bf0f-1d7e-438f-afa5-6ebf1e20f9b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SERCOM-3-dxx-Template_fr.dotx</Template>
  <TotalTime>211</TotalTime>
  <Pages>4</Pages>
  <Words>1106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7177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Geneviève Delajod</cp:lastModifiedBy>
  <cp:revision>129</cp:revision>
  <cp:lastPrinted>2013-03-12T09:27:00Z</cp:lastPrinted>
  <dcterms:created xsi:type="dcterms:W3CDTF">2024-02-01T14:06:00Z</dcterms:created>
  <dcterms:modified xsi:type="dcterms:W3CDTF">2024-02-06T07:58:00Z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</Properties>
</file>